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8B7A3" w14:textId="77777777" w:rsidR="00A60C39" w:rsidRDefault="00A60C39" w:rsidP="00A60C39">
      <w:r w:rsidRPr="00345E6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ADD5D3C" wp14:editId="394E8EA7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6188710" cy="1733550"/>
            <wp:effectExtent l="0" t="0" r="2540" b="0"/>
            <wp:wrapTight wrapText="bothSides">
              <wp:wrapPolygon edited="0">
                <wp:start x="0" y="0"/>
                <wp:lineTo x="0" y="21363"/>
                <wp:lineTo x="21542" y="21363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ature_Images_v3-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53"/>
                    <a:stretch/>
                  </pic:blipFill>
                  <pic:spPr bwMode="auto">
                    <a:xfrm>
                      <a:off x="0" y="0"/>
                      <a:ext cx="618871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7378D" w14:textId="77777777" w:rsidR="00A60C39" w:rsidRDefault="00A60C39" w:rsidP="00A60C39">
      <w:pPr>
        <w:pStyle w:val="Heading1"/>
      </w:pPr>
      <w:r>
        <w:t xml:space="preserve">Guidance on applying to the </w:t>
      </w:r>
      <w:r w:rsidR="003E00F9">
        <w:t>policy</w:t>
      </w:r>
      <w:r>
        <w:t xml:space="preserve"> engagement fund</w:t>
      </w:r>
    </w:p>
    <w:p w14:paraId="6C0E1DE5" w14:textId="77777777" w:rsidR="003E00F9" w:rsidRDefault="003E00F9" w:rsidP="003E00F9">
      <w:pPr>
        <w:pStyle w:val="Heading2"/>
      </w:pPr>
      <w:r>
        <w:t>Overview</w:t>
      </w:r>
    </w:p>
    <w:p w14:paraId="5965EECC" w14:textId="77777777" w:rsidR="003E00F9" w:rsidRPr="00F44BCE" w:rsidRDefault="003E00F9" w:rsidP="003E00F9">
      <w:r w:rsidRPr="00F44BCE">
        <w:t xml:space="preserve">Policy Leeds </w:t>
      </w:r>
      <w:r>
        <w:t xml:space="preserve">is looking to </w:t>
      </w:r>
      <w:r w:rsidRPr="00F44BCE">
        <w:t xml:space="preserve">support </w:t>
      </w:r>
      <w:r>
        <w:t xml:space="preserve">researchers within the University of </w:t>
      </w:r>
      <w:r w:rsidRPr="00F44BCE">
        <w:t xml:space="preserve">Leeds </w:t>
      </w:r>
      <w:r>
        <w:t>to engage with local, regional, national or international policy communities to</w:t>
      </w:r>
      <w:r w:rsidRPr="00F44BCE">
        <w:t xml:space="preserve"> build deeper relationships and more innovative</w:t>
      </w:r>
      <w:r>
        <w:t xml:space="preserve"> and impactful</w:t>
      </w:r>
      <w:r w:rsidRPr="00F44BCE">
        <w:t xml:space="preserve"> collaborations</w:t>
      </w:r>
      <w:r>
        <w:t xml:space="preserve"> through our policy engagement fund</w:t>
      </w:r>
      <w:r w:rsidRPr="00F44BCE">
        <w:t>.</w:t>
      </w:r>
    </w:p>
    <w:p w14:paraId="46B26604" w14:textId="77777777" w:rsidR="003E00F9" w:rsidRDefault="003E00F9" w:rsidP="003E00F9">
      <w:r>
        <w:t>Objectives</w:t>
      </w:r>
      <w:r w:rsidR="00C378C6">
        <w:t>:</w:t>
      </w:r>
    </w:p>
    <w:p w14:paraId="33B24207" w14:textId="77777777" w:rsidR="003E00F9" w:rsidRDefault="003E00F9" w:rsidP="003E00F9">
      <w:pPr>
        <w:pStyle w:val="ListParagraph"/>
        <w:numPr>
          <w:ilvl w:val="0"/>
          <w:numId w:val="9"/>
        </w:numPr>
      </w:pPr>
      <w:r>
        <w:t>To build new or enhance relations with policy-facing partners a</w:t>
      </w:r>
      <w:r w:rsidR="006D16B6">
        <w:t xml:space="preserve">t local, regional, national </w:t>
      </w:r>
      <w:r>
        <w:t>or international levels</w:t>
      </w:r>
    </w:p>
    <w:p w14:paraId="432C3336" w14:textId="77777777" w:rsidR="003E00F9" w:rsidRDefault="003E00F9" w:rsidP="003E00F9">
      <w:pPr>
        <w:pStyle w:val="ListParagraph"/>
        <w:numPr>
          <w:ilvl w:val="0"/>
          <w:numId w:val="9"/>
        </w:numPr>
      </w:pPr>
      <w:r>
        <w:t>To kick-start policy engagement activity, matching areas of research excellence at the University of Leeds with current or anticipated policy needs</w:t>
      </w:r>
    </w:p>
    <w:p w14:paraId="395E1FF7" w14:textId="77777777" w:rsidR="003E00F9" w:rsidRDefault="003E00F9" w:rsidP="003E00F9">
      <w:pPr>
        <w:pStyle w:val="ListParagraph"/>
        <w:numPr>
          <w:ilvl w:val="0"/>
          <w:numId w:val="9"/>
        </w:numPr>
      </w:pPr>
      <w:r>
        <w:t>To develop skills and capacities for effective policy engagement within the University, in particular widening the equality, diversity and inclusion of researchers involved in policy engagement</w:t>
      </w:r>
    </w:p>
    <w:p w14:paraId="058C8EFE" w14:textId="77777777" w:rsidR="003E00F9" w:rsidRDefault="0099657E" w:rsidP="003E00F9">
      <w:r>
        <w:t>Funding can be applied for via our two funding modes:</w:t>
      </w:r>
    </w:p>
    <w:p w14:paraId="6A4F42AE" w14:textId="77777777" w:rsidR="0099657E" w:rsidRDefault="0099657E" w:rsidP="0099657E">
      <w:pPr>
        <w:pStyle w:val="ListParagraph"/>
        <w:numPr>
          <w:ilvl w:val="0"/>
          <w:numId w:val="10"/>
        </w:numPr>
      </w:pPr>
      <w:r>
        <w:t xml:space="preserve">Rapid response mode – </w:t>
      </w:r>
      <w:r w:rsidRPr="0028065F">
        <w:t>to support researchers to respond quickly and tactically to urgent policy opportunitie</w:t>
      </w:r>
      <w:r>
        <w:t>s</w:t>
      </w:r>
      <w:r w:rsidR="00C378C6">
        <w:t>. Awards up to £3,000.</w:t>
      </w:r>
    </w:p>
    <w:p w14:paraId="2CBE5665" w14:textId="77777777" w:rsidR="0099657E" w:rsidRDefault="0099657E" w:rsidP="0099657E">
      <w:pPr>
        <w:pStyle w:val="ListParagraph"/>
        <w:numPr>
          <w:ilvl w:val="0"/>
          <w:numId w:val="10"/>
        </w:numPr>
      </w:pPr>
      <w:r>
        <w:t xml:space="preserve">Small grant mode – </w:t>
      </w:r>
      <w:r w:rsidR="00C378C6">
        <w:t>to support larger or longer policy engagement projects to establish new areas of engagement or take existing engagement to the next level. Awards up to £7,000.</w:t>
      </w:r>
    </w:p>
    <w:p w14:paraId="2372107D" w14:textId="77777777" w:rsidR="00011AE5" w:rsidRPr="0028065F" w:rsidRDefault="003E00F9" w:rsidP="00011AE5">
      <w:r>
        <w:t>The funding is intended to support the development of policy engagement focused activit</w:t>
      </w:r>
      <w:r w:rsidR="00916C2F">
        <w:t>ies and not research activities</w:t>
      </w:r>
      <w:r w:rsidR="00011AE5" w:rsidRPr="0028065F">
        <w:t>.</w:t>
      </w:r>
      <w:r w:rsidR="00916C2F">
        <w:t xml:space="preserve"> We particularly welcome projects that are developing innovative approaches to policy engagement. </w:t>
      </w:r>
    </w:p>
    <w:p w14:paraId="631E4E19" w14:textId="77777777" w:rsidR="00A60C39" w:rsidRPr="0028065F" w:rsidRDefault="00C378C6" w:rsidP="00A60C39">
      <w:r>
        <w:t>Policy engagement activities could include</w:t>
      </w:r>
      <w:r w:rsidR="004D3A53">
        <w:t>:</w:t>
      </w:r>
      <w:r w:rsidR="00A60C39" w:rsidRPr="0028065F">
        <w:t> </w:t>
      </w:r>
    </w:p>
    <w:p w14:paraId="08675296" w14:textId="77777777" w:rsidR="00A60C39" w:rsidRPr="0028065F" w:rsidRDefault="00A60C39" w:rsidP="4C229002">
      <w:pPr>
        <w:pStyle w:val="ListParagraph"/>
        <w:numPr>
          <w:ilvl w:val="0"/>
          <w:numId w:val="7"/>
        </w:numPr>
        <w:spacing w:after="0"/>
        <w:rPr>
          <w:rFonts w:eastAsiaTheme="minorEastAsia"/>
        </w:rPr>
      </w:pPr>
      <w:r>
        <w:t>Supporting building relationships and networks with policy professionals to maximise routes to impact and facilitate coproduction of future research  </w:t>
      </w:r>
    </w:p>
    <w:p w14:paraId="0957C758" w14:textId="77777777" w:rsidR="00A60C39" w:rsidRPr="0028065F" w:rsidRDefault="00A60C39" w:rsidP="4C229002">
      <w:pPr>
        <w:pStyle w:val="ListParagraph"/>
        <w:numPr>
          <w:ilvl w:val="0"/>
          <w:numId w:val="7"/>
        </w:numPr>
        <w:spacing w:after="0"/>
        <w:rPr>
          <w:rFonts w:eastAsiaTheme="minorEastAsia"/>
        </w:rPr>
      </w:pPr>
      <w:r>
        <w:t>To deliver or participate in knowledge exchange activities with policy professionals  </w:t>
      </w:r>
    </w:p>
    <w:p w14:paraId="18CDB3F6" w14:textId="77777777" w:rsidR="00A60C39" w:rsidRPr="0028065F" w:rsidRDefault="00A60C39" w:rsidP="00A60C39">
      <w:pPr>
        <w:numPr>
          <w:ilvl w:val="0"/>
          <w:numId w:val="7"/>
        </w:numPr>
      </w:pPr>
      <w:r>
        <w:t>Supporting the translation, application</w:t>
      </w:r>
      <w:r w:rsidR="004325E7">
        <w:t>, and</w:t>
      </w:r>
      <w:r>
        <w:t xml:space="preserve"> utilisati</w:t>
      </w:r>
      <w:r w:rsidR="004325E7">
        <w:t>on of existing research findings or approaches</w:t>
      </w:r>
      <w:r>
        <w:t xml:space="preserve"> for policy, for example via a rapid evide</w:t>
      </w:r>
      <w:r w:rsidR="004325E7">
        <w:t xml:space="preserve">nce synthesis or demonstrating the value of an approach for a policy context or challenge </w:t>
      </w:r>
      <w:r>
        <w:t>  </w:t>
      </w:r>
    </w:p>
    <w:p w14:paraId="5B3D085A" w14:textId="6CF488DB" w:rsidR="00A60C39" w:rsidRDefault="00A60C39">
      <w:r>
        <w:t xml:space="preserve">The </w:t>
      </w:r>
      <w:r w:rsidR="004D3A53">
        <w:t>policy engagement</w:t>
      </w:r>
      <w:r w:rsidR="004325E7">
        <w:t xml:space="preserve"> fund can be applied for</w:t>
      </w:r>
      <w:r>
        <w:t xml:space="preserve"> in concert with other funding opportunities, such as I</w:t>
      </w:r>
      <w:r w:rsidR="004325E7">
        <w:t>mpact Acceleration Accounts, to extend the potential impact of policy engagement activities.</w:t>
      </w:r>
    </w:p>
    <w:p w14:paraId="47C5F9D3" w14:textId="77777777" w:rsidR="00A60C39" w:rsidRPr="0028065F" w:rsidRDefault="00A60C39" w:rsidP="00A60C39">
      <w:pPr>
        <w:pStyle w:val="Heading2"/>
      </w:pPr>
      <w:r w:rsidRPr="0028065F">
        <w:lastRenderedPageBreak/>
        <w:t>Eligibility</w:t>
      </w:r>
    </w:p>
    <w:p w14:paraId="2E35031B" w14:textId="77777777" w:rsidR="00A60C39" w:rsidRDefault="004325E7" w:rsidP="00A60C39">
      <w:r>
        <w:t xml:space="preserve">For the small grant mode, </w:t>
      </w:r>
      <w:r w:rsidR="00D54A89">
        <w:t xml:space="preserve">applications should be led by an </w:t>
      </w:r>
      <w:r>
        <w:t>academic member of staff. For the rapid response mode, a</w:t>
      </w:r>
      <w:r w:rsidR="00A60C39" w:rsidRPr="0028065F">
        <w:t xml:space="preserve">pplications are welcomed from researchers at PhD level and above, or professional staff whose role involves engaging policy actors with research evidence. </w:t>
      </w:r>
      <w:r w:rsidR="00D54A89">
        <w:t xml:space="preserve">For both modes, applicants should be </w:t>
      </w:r>
      <w:r w:rsidR="00A60C39" w:rsidRPr="0028065F">
        <w:t>contracted</w:t>
      </w:r>
      <w:r w:rsidR="00E6512E">
        <w:t>/ registered</w:t>
      </w:r>
      <w:r w:rsidR="00A60C39" w:rsidRPr="0028065F">
        <w:t xml:space="preserve"> at the University of Leeds for the duration of the anticipated activity.  </w:t>
      </w:r>
    </w:p>
    <w:p w14:paraId="6CC25542" w14:textId="77777777" w:rsidR="00E6512E" w:rsidRDefault="00E6512E" w:rsidP="00E6512E">
      <w:pPr>
        <w:pStyle w:val="Heading2"/>
      </w:pPr>
      <w:r>
        <w:t>Funding</w:t>
      </w:r>
    </w:p>
    <w:p w14:paraId="3F59C1F7" w14:textId="77777777" w:rsidR="00E6512E" w:rsidRDefault="00E6512E" w:rsidP="00E6512E">
      <w:r>
        <w:t>Policy engagement funding can only cover directly incurred costs associated with the award (i.e. it does not cover Full Economic Costs), which may include:</w:t>
      </w:r>
    </w:p>
    <w:p w14:paraId="023E2150" w14:textId="77777777" w:rsidR="00E6512E" w:rsidRPr="00C449B6" w:rsidRDefault="00E6512E" w:rsidP="00E6512E">
      <w:pPr>
        <w:pStyle w:val="ListParagraph"/>
        <w:numPr>
          <w:ilvl w:val="0"/>
          <w:numId w:val="12"/>
        </w:numPr>
      </w:pPr>
      <w:r w:rsidRPr="00C449B6">
        <w:t xml:space="preserve">Reasonable travel, accommodation and subsistence costs. </w:t>
      </w:r>
    </w:p>
    <w:p w14:paraId="6A7BBD8F" w14:textId="77777777" w:rsidR="00E6512E" w:rsidRDefault="00E6512E" w:rsidP="00E6512E">
      <w:pPr>
        <w:pStyle w:val="ListParagraph"/>
        <w:numPr>
          <w:ilvl w:val="0"/>
          <w:numId w:val="12"/>
        </w:numPr>
      </w:pPr>
      <w:r>
        <w:t>Consumables directly related to the project</w:t>
      </w:r>
      <w:r w:rsidRPr="00C449B6">
        <w:t>, such as registration costs at events</w:t>
      </w:r>
      <w:r>
        <w:t xml:space="preserve"> (excluding academic conferences)</w:t>
      </w:r>
      <w:r w:rsidRPr="00C449B6">
        <w:t xml:space="preserve">, production of professional </w:t>
      </w:r>
      <w:r>
        <w:t xml:space="preserve">communication </w:t>
      </w:r>
      <w:r w:rsidRPr="00C449B6">
        <w:t xml:space="preserve">materials, room bookings, catering etc. </w:t>
      </w:r>
    </w:p>
    <w:p w14:paraId="729CC91A" w14:textId="77777777" w:rsidR="00E6512E" w:rsidRDefault="00E6512E" w:rsidP="00E6512E">
      <w:pPr>
        <w:pStyle w:val="ListParagraph"/>
        <w:numPr>
          <w:ilvl w:val="0"/>
          <w:numId w:val="12"/>
        </w:numPr>
      </w:pPr>
      <w:r w:rsidRPr="00C449B6">
        <w:t>Other costs such as external consultancy fees</w:t>
      </w:r>
      <w:r>
        <w:t xml:space="preserve"> </w:t>
      </w:r>
      <w:r w:rsidRPr="00C449B6">
        <w:t xml:space="preserve">may be eligible. Please discuss with Policy Leeds prior to submitting your application. </w:t>
      </w:r>
    </w:p>
    <w:p w14:paraId="43F10BDB" w14:textId="77777777" w:rsidR="00E6512E" w:rsidRDefault="00E6512E" w:rsidP="00E6512E">
      <w:pPr>
        <w:pStyle w:val="ListParagraph"/>
        <w:numPr>
          <w:ilvl w:val="0"/>
          <w:numId w:val="12"/>
        </w:numPr>
      </w:pPr>
      <w:r>
        <w:t xml:space="preserve">Salaries to </w:t>
      </w:r>
      <w:r w:rsidR="00B3076A">
        <w:t>support</w:t>
      </w:r>
      <w:r>
        <w:t xml:space="preserve"> </w:t>
      </w:r>
      <w:r w:rsidR="00EF15AA">
        <w:t>fixed-term</w:t>
      </w:r>
      <w:r>
        <w:t xml:space="preserve"> staff already employed by the University of Leeds or to recruit new members on a short fixed-term basis. </w:t>
      </w:r>
    </w:p>
    <w:p w14:paraId="7ADC06CE" w14:textId="77777777" w:rsidR="00E6512E" w:rsidRDefault="00E6512E" w:rsidP="00E6512E">
      <w:r>
        <w:t>The following costs are not eligible:</w:t>
      </w:r>
    </w:p>
    <w:p w14:paraId="7381BD02" w14:textId="77777777" w:rsidR="00E6512E" w:rsidRDefault="00E6512E" w:rsidP="00E6512E">
      <w:pPr>
        <w:pStyle w:val="ListParagraph"/>
        <w:numPr>
          <w:ilvl w:val="0"/>
          <w:numId w:val="11"/>
        </w:numPr>
      </w:pPr>
      <w:r>
        <w:t>Academic staff time</w:t>
      </w:r>
      <w:r w:rsidR="00EF15AA">
        <w:t>, DA costs</w:t>
      </w:r>
    </w:p>
    <w:p w14:paraId="1AE6BAB7" w14:textId="77777777" w:rsidR="00E6512E" w:rsidRDefault="00E6512E" w:rsidP="00E6512E">
      <w:pPr>
        <w:pStyle w:val="ListParagraph"/>
        <w:numPr>
          <w:ilvl w:val="0"/>
          <w:numId w:val="11"/>
        </w:numPr>
      </w:pPr>
      <w:r>
        <w:t>IT or equipment costs</w:t>
      </w:r>
    </w:p>
    <w:p w14:paraId="7601782A" w14:textId="77777777" w:rsidR="00E6512E" w:rsidRDefault="00E6512E" w:rsidP="00E6512E">
      <w:pPr>
        <w:pStyle w:val="ListParagraph"/>
        <w:numPr>
          <w:ilvl w:val="0"/>
          <w:numId w:val="11"/>
        </w:numPr>
      </w:pPr>
      <w:r>
        <w:t>Estates and indirect costs</w:t>
      </w:r>
    </w:p>
    <w:p w14:paraId="37E46F84" w14:textId="77777777" w:rsidR="00E6512E" w:rsidRPr="00F44BCE" w:rsidRDefault="00E6512E" w:rsidP="00E6512E">
      <w:r>
        <w:t>Small grants can also request Policy Leeds</w:t>
      </w:r>
      <w:r w:rsidRPr="00F44BCE">
        <w:t xml:space="preserve"> support </w:t>
      </w:r>
      <w:r>
        <w:t xml:space="preserve">in the form of project management, organisational and communications capacity, up to a maximum of 0.5 day per week for 3 months (or equivalent). </w:t>
      </w:r>
    </w:p>
    <w:p w14:paraId="733D0E79" w14:textId="31AB1D89" w:rsidR="00E6512E" w:rsidRPr="00C449B6" w:rsidRDefault="00E6512E" w:rsidP="00E6512E">
      <w:r w:rsidRPr="00C449B6">
        <w:t xml:space="preserve">Applicants should provide costings and justification for the budget requested on the application form.  </w:t>
      </w:r>
      <w:r w:rsidR="007A2D58">
        <w:t>For all small grants and rapid response applications above £1,000, p</w:t>
      </w:r>
      <w:r w:rsidRPr="00C449B6">
        <w:t xml:space="preserve">lease </w:t>
      </w:r>
      <w:r>
        <w:t>submit</w:t>
      </w:r>
      <w:r w:rsidRPr="00C449B6">
        <w:t xml:space="preserve"> </w:t>
      </w:r>
      <w:r>
        <w:t xml:space="preserve">DA staff </w:t>
      </w:r>
      <w:r w:rsidRPr="00C449B6">
        <w:t>cost in consultation with your Faculty Research &amp; Innovation O</w:t>
      </w:r>
      <w:r>
        <w:t>ffice</w:t>
      </w:r>
      <w:r w:rsidR="00C73146">
        <w:t xml:space="preserve"> or your Faculty Finance Office</w:t>
      </w:r>
      <w:r>
        <w:t>, in order to inform appropriate sign-off by your Head of School.</w:t>
      </w:r>
    </w:p>
    <w:p w14:paraId="5AD613F3" w14:textId="5003DB51" w:rsidR="00E6512E" w:rsidRPr="0028065F" w:rsidRDefault="00E6512E" w:rsidP="00A60C39">
      <w:r>
        <w:t>Policy Leeds</w:t>
      </w:r>
      <w:r w:rsidRPr="007015C8">
        <w:t xml:space="preserve"> applications can be considered in conjunction with other IAA funding schemes such as the</w:t>
      </w:r>
      <w:r>
        <w:t xml:space="preserve"> ESRC,</w:t>
      </w:r>
      <w:r w:rsidRPr="007015C8">
        <w:t xml:space="preserve"> </w:t>
      </w:r>
      <w:r w:rsidR="00C73146">
        <w:t>or translational funding, including the integrated</w:t>
      </w:r>
      <w:bookmarkStart w:id="0" w:name="_GoBack"/>
      <w:bookmarkEnd w:id="0"/>
      <w:r w:rsidR="00C73146">
        <w:t xml:space="preserve"> IAA from other research councils, </w:t>
      </w:r>
      <w:r w:rsidRPr="007015C8">
        <w:t xml:space="preserve">that are available at the University. </w:t>
      </w:r>
      <w:r>
        <w:t>Please indicate on you application i</w:t>
      </w:r>
      <w:r w:rsidRPr="007015C8">
        <w:t>f you wish for your appli</w:t>
      </w:r>
      <w:r>
        <w:t>cation to be considered for co-f</w:t>
      </w:r>
      <w:r w:rsidRPr="007015C8">
        <w:t>unding w</w:t>
      </w:r>
      <w:r>
        <w:t>ith other schemes at the University</w:t>
      </w:r>
      <w:r w:rsidRPr="007015C8">
        <w:t>.</w:t>
      </w:r>
    </w:p>
    <w:p w14:paraId="69CD88F7" w14:textId="77777777" w:rsidR="00A60C39" w:rsidRPr="0028065F" w:rsidRDefault="00A60C39" w:rsidP="00A60C39">
      <w:pPr>
        <w:pStyle w:val="Heading2"/>
      </w:pPr>
      <w:r w:rsidRPr="0028065F">
        <w:t>Application and awards process</w:t>
      </w:r>
    </w:p>
    <w:p w14:paraId="60CDD956" w14:textId="656860B0" w:rsidR="00A60C39" w:rsidRPr="0028065F" w:rsidRDefault="00A60C39" w:rsidP="00A60C39">
      <w:r>
        <w:t xml:space="preserve">There </w:t>
      </w:r>
      <w:r w:rsidR="7CDCAAF8">
        <w:t>is</w:t>
      </w:r>
      <w:r>
        <w:t xml:space="preserve"> no deadline for </w:t>
      </w:r>
      <w:r w:rsidR="00E6512E">
        <w:t>policy engagement fund</w:t>
      </w:r>
      <w:r>
        <w:t xml:space="preserve"> applications, and applications will be assessed on a rolling basis by Policy Leeds. As a limited amount of funding is available each year, the number of awards will depend on the size of requests already granted. </w:t>
      </w:r>
    </w:p>
    <w:p w14:paraId="27C3CAF9" w14:textId="626282C2" w:rsidR="00E6512E" w:rsidRDefault="00E6512E">
      <w:r>
        <w:t>P</w:t>
      </w:r>
      <w:r w:rsidR="00A60C39">
        <w:t xml:space="preserve">lease email your completed application form to </w:t>
      </w:r>
      <w:r w:rsidR="00E72A16">
        <w:t xml:space="preserve">the Knowledge Exchange team at </w:t>
      </w:r>
      <w:hyperlink r:id="rId11" w:history="1">
        <w:r w:rsidR="00E72A16" w:rsidRPr="00A366AD">
          <w:rPr>
            <w:rStyle w:val="Hyperlink"/>
          </w:rPr>
          <w:t>knowledge-exchange@leeds.ac.uk</w:t>
        </w:r>
      </w:hyperlink>
      <w:r w:rsidR="6FC250EE">
        <w:t>.</w:t>
      </w:r>
      <w:r w:rsidR="00E72A16" w:rsidRPr="00E72A16">
        <w:t xml:space="preserve"> </w:t>
      </w:r>
      <w:r w:rsidR="00E72A16">
        <w:t xml:space="preserve">If you would like to discuss your application prior to submitting, please contact Juliet Jopson at </w:t>
      </w:r>
      <w:hyperlink r:id="rId12" w:history="1">
        <w:r w:rsidR="00E72A16" w:rsidRPr="00A366AD">
          <w:rPr>
            <w:rStyle w:val="Hyperlink"/>
          </w:rPr>
          <w:t>policyleeds@leeds.ac.uk</w:t>
        </w:r>
      </w:hyperlink>
      <w:r w:rsidR="00E72A16">
        <w:t>.</w:t>
      </w:r>
    </w:p>
    <w:p w14:paraId="3CBA8F66" w14:textId="77777777" w:rsidR="00A60C39" w:rsidRPr="0028065F" w:rsidRDefault="00A60C39" w:rsidP="00A60C39">
      <w:r w:rsidRPr="0028065F">
        <w:t>Applications will be assessed based on the likely effectiveness and targeting of the proposed policy engagement, deliverability of the outlined activity, and potential to lead to research impact. </w:t>
      </w:r>
      <w:r w:rsidR="007A2D58">
        <w:t>Applications should focus on the development of policy engagement activities and outputs, and not research.</w:t>
      </w:r>
      <w:r w:rsidRPr="0028065F">
        <w:t> </w:t>
      </w:r>
    </w:p>
    <w:p w14:paraId="2A9CE960" w14:textId="77777777" w:rsidR="00A60C39" w:rsidRPr="0028065F" w:rsidRDefault="00E6512E" w:rsidP="00A60C39">
      <w:r>
        <w:t>For rapid response mode applications w</w:t>
      </w:r>
      <w:r w:rsidR="00A60C39" w:rsidRPr="0028065F">
        <w:t>e will aim to give feedback on the result of the assessment within one week of a</w:t>
      </w:r>
      <w:r w:rsidR="0017563C">
        <w:t>pplication</w:t>
      </w:r>
      <w:r w:rsidR="00A60C39" w:rsidRPr="0028065F">
        <w:t>.</w:t>
      </w:r>
      <w:r>
        <w:t xml:space="preserve"> For small grant mode, decisions will be</w:t>
      </w:r>
      <w:r w:rsidR="0017563C">
        <w:t xml:space="preserve"> given within 3 weeks where possible.</w:t>
      </w:r>
      <w:r>
        <w:t xml:space="preserve"> </w:t>
      </w:r>
      <w:r w:rsidR="00A60C39" w:rsidRPr="0028065F">
        <w:t> </w:t>
      </w:r>
    </w:p>
    <w:p w14:paraId="41D08FCB" w14:textId="77777777" w:rsidR="00A60C39" w:rsidRPr="0028065F" w:rsidRDefault="0017563C" w:rsidP="00A60C39">
      <w:r>
        <w:lastRenderedPageBreak/>
        <w:t>Once an application has been approved, the award will either be administered by Policy Leeds (in their project management capacity) or a Faculty account will be set up for the award-holder (which may take a couple of weeks). In this latter case, the award-holder is responsible for managing and reporting on all expenditure and complying with all University of Leeds Financial Regulations.</w:t>
      </w:r>
    </w:p>
    <w:p w14:paraId="14F72A97" w14:textId="77777777" w:rsidR="00A60C39" w:rsidRPr="0028065F" w:rsidRDefault="00A60C39" w:rsidP="00A60C39">
      <w:pPr>
        <w:pStyle w:val="Heading2"/>
      </w:pPr>
      <w:r w:rsidRPr="0028065F">
        <w:t>Reporting requirements</w:t>
      </w:r>
    </w:p>
    <w:p w14:paraId="38A8A701" w14:textId="77777777" w:rsidR="0017563C" w:rsidRPr="0017563C" w:rsidRDefault="00A60C39" w:rsidP="0017563C">
      <w:r w:rsidRPr="0028065F">
        <w:t>A short evaluation will be requested one month after the end of the supported activity to enable us to monitor the effectiveness of the funding stream.</w:t>
      </w:r>
      <w:r w:rsidR="0017563C">
        <w:t xml:space="preserve"> The report should detail any outputs and outcomes, and reflect on the success of the policy engagement activities undertaken. A template for the</w:t>
      </w:r>
      <w:r w:rsidR="00253736">
        <w:t xml:space="preserve"> report will be provided upon completion of the award</w:t>
      </w:r>
      <w:r w:rsidR="0017563C">
        <w:t>.</w:t>
      </w:r>
    </w:p>
    <w:p w14:paraId="756CE530" w14:textId="77777777" w:rsidR="00A60C39" w:rsidRPr="0028065F" w:rsidRDefault="0017563C" w:rsidP="00A60C39">
      <w:r>
        <w:t>For larger awards, Policy Leeds may follow up with the award holders after 12 months to capture any longer term outcomes or impacts.</w:t>
      </w:r>
    </w:p>
    <w:p w14:paraId="672A6659" w14:textId="439E5147" w:rsidR="00A60C39" w:rsidRDefault="00A60C39"/>
    <w:sectPr w:rsidR="00A60C39" w:rsidSect="00345E66"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50972" w14:textId="77777777" w:rsidR="003319EB" w:rsidRDefault="003319EB" w:rsidP="00EA2473">
      <w:pPr>
        <w:spacing w:after="0" w:line="240" w:lineRule="auto"/>
      </w:pPr>
      <w:r>
        <w:separator/>
      </w:r>
    </w:p>
  </w:endnote>
  <w:endnote w:type="continuationSeparator" w:id="0">
    <w:p w14:paraId="08A85980" w14:textId="77777777" w:rsidR="003319EB" w:rsidRDefault="003319EB" w:rsidP="00EA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691612"/>
      <w:docPartObj>
        <w:docPartGallery w:val="Page Numbers (Bottom of Page)"/>
        <w:docPartUnique/>
      </w:docPartObj>
    </w:sdtPr>
    <w:sdtEndPr/>
    <w:sdtContent>
      <w:sdt>
        <w:sdtPr>
          <w:id w:val="-567346362"/>
          <w:docPartObj>
            <w:docPartGallery w:val="Page Numbers (Top of Page)"/>
            <w:docPartUnique/>
          </w:docPartObj>
        </w:sdtPr>
        <w:sdtEndPr/>
        <w:sdtContent>
          <w:p w14:paraId="29CE678E" w14:textId="25FACF93" w:rsidR="00EA2473" w:rsidRDefault="00843DA3">
            <w:pPr>
              <w:pStyle w:val="Foo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E8B2C82" wp14:editId="0C37368B">
                  <wp:simplePos x="0" y="0"/>
                  <wp:positionH relativeFrom="margin">
                    <wp:posOffset>4683760</wp:posOffset>
                  </wp:positionH>
                  <wp:positionV relativeFrom="paragraph">
                    <wp:posOffset>-278130</wp:posOffset>
                  </wp:positionV>
                  <wp:extent cx="1495425" cy="426085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eeds_Black 300dpi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7437B299" w:rsidRPr="00EA2473">
              <w:t xml:space="preserve">Page </w:t>
            </w:r>
            <w:r w:rsidR="00EA2473" w:rsidRPr="4C229002">
              <w:rPr>
                <w:sz w:val="24"/>
                <w:szCs w:val="24"/>
              </w:rPr>
              <w:fldChar w:fldCharType="begin"/>
            </w:r>
            <w:r w:rsidR="00EA2473" w:rsidRPr="00EA2473">
              <w:rPr>
                <w:bCs/>
              </w:rPr>
              <w:instrText xml:space="preserve"> PAGE </w:instrText>
            </w:r>
            <w:r w:rsidR="00EA2473" w:rsidRPr="4C229002">
              <w:rPr>
                <w:sz w:val="24"/>
                <w:szCs w:val="24"/>
              </w:rPr>
              <w:fldChar w:fldCharType="separate"/>
            </w:r>
            <w:r w:rsidR="00C73146">
              <w:rPr>
                <w:bCs/>
                <w:noProof/>
              </w:rPr>
              <w:t>3</w:t>
            </w:r>
            <w:r w:rsidR="00EA2473" w:rsidRPr="4C229002">
              <w:rPr>
                <w:sz w:val="24"/>
                <w:szCs w:val="24"/>
              </w:rPr>
              <w:fldChar w:fldCharType="end"/>
            </w:r>
            <w:r w:rsidR="7437B299" w:rsidRPr="00EA2473">
              <w:t xml:space="preserve"> of </w:t>
            </w:r>
            <w:r w:rsidR="00EA2473" w:rsidRPr="4C229002">
              <w:rPr>
                <w:sz w:val="24"/>
                <w:szCs w:val="24"/>
              </w:rPr>
              <w:fldChar w:fldCharType="begin"/>
            </w:r>
            <w:r w:rsidR="00EA2473" w:rsidRPr="00EA2473">
              <w:rPr>
                <w:bCs/>
              </w:rPr>
              <w:instrText xml:space="preserve"> NUMPAGES  </w:instrText>
            </w:r>
            <w:r w:rsidR="00EA2473" w:rsidRPr="4C229002">
              <w:rPr>
                <w:sz w:val="24"/>
                <w:szCs w:val="24"/>
              </w:rPr>
              <w:fldChar w:fldCharType="separate"/>
            </w:r>
            <w:r w:rsidR="00C73146">
              <w:rPr>
                <w:bCs/>
                <w:noProof/>
              </w:rPr>
              <w:t>3</w:t>
            </w:r>
            <w:r w:rsidR="00EA2473" w:rsidRPr="4C229002">
              <w:rPr>
                <w:sz w:val="24"/>
                <w:szCs w:val="24"/>
              </w:rPr>
              <w:fldChar w:fldCharType="end"/>
            </w:r>
            <w:r w:rsidR="7437B299" w:rsidRPr="4C229002">
              <w:rPr>
                <w:sz w:val="24"/>
                <w:szCs w:val="24"/>
              </w:rPr>
              <w:t xml:space="preserve">. </w:t>
            </w:r>
            <w:r w:rsidR="0068746A">
              <w:t xml:space="preserve">Policy engagement fund </w:t>
            </w:r>
            <w:r w:rsidR="00CF4976">
              <w:t>guidance</w:t>
            </w:r>
            <w:r w:rsidR="0068746A">
              <w:t xml:space="preserve"> </w:t>
            </w:r>
            <w:r w:rsidR="7437B299">
              <w:t xml:space="preserve">– </w:t>
            </w:r>
            <w:r w:rsidR="00C73146">
              <w:t>28 April</w:t>
            </w:r>
            <w:r w:rsidR="7437B299">
              <w:t xml:space="preserve"> 202</w:t>
            </w:r>
            <w:r w:rsidR="00E72A16">
              <w:t>2</w:t>
            </w:r>
            <w:r w:rsidR="7437B299">
              <w:t>.</w:t>
            </w:r>
            <w:r w:rsidR="7437B299" w:rsidRPr="00843DA3">
              <w:rPr>
                <w:noProof/>
                <w:lang w:eastAsia="en-GB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9738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C7A037" w14:textId="475DCFFE" w:rsidR="00E52C5E" w:rsidRDefault="00843DA3" w:rsidP="00843DA3">
            <w:pPr>
              <w:pStyle w:val="Head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5C667D5" wp14:editId="07777777">
                  <wp:simplePos x="0" y="0"/>
                  <wp:positionH relativeFrom="margin">
                    <wp:align>right</wp:align>
                  </wp:positionH>
                  <wp:positionV relativeFrom="paragraph">
                    <wp:posOffset>-274320</wp:posOffset>
                  </wp:positionV>
                  <wp:extent cx="1495425" cy="426085"/>
                  <wp:effectExtent l="0" t="0" r="952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eeds_Black 300dpi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7437B299" w:rsidRPr="00E52C5E">
              <w:t xml:space="preserve">Page </w:t>
            </w:r>
            <w:r w:rsidR="00E52C5E" w:rsidRPr="4C229002">
              <w:rPr>
                <w:sz w:val="24"/>
                <w:szCs w:val="24"/>
              </w:rPr>
              <w:fldChar w:fldCharType="begin"/>
            </w:r>
            <w:r w:rsidR="00E52C5E" w:rsidRPr="00E52C5E">
              <w:rPr>
                <w:bCs/>
              </w:rPr>
              <w:instrText xml:space="preserve"> PAGE </w:instrText>
            </w:r>
            <w:r w:rsidR="00E52C5E" w:rsidRPr="4C229002">
              <w:rPr>
                <w:sz w:val="24"/>
                <w:szCs w:val="24"/>
              </w:rPr>
              <w:fldChar w:fldCharType="separate"/>
            </w:r>
            <w:r w:rsidR="00C73146">
              <w:rPr>
                <w:bCs/>
                <w:noProof/>
              </w:rPr>
              <w:t>1</w:t>
            </w:r>
            <w:r w:rsidR="00E52C5E" w:rsidRPr="4C229002">
              <w:rPr>
                <w:sz w:val="24"/>
                <w:szCs w:val="24"/>
              </w:rPr>
              <w:fldChar w:fldCharType="end"/>
            </w:r>
            <w:r w:rsidR="7437B299" w:rsidRPr="00E52C5E">
              <w:t xml:space="preserve"> of </w:t>
            </w:r>
            <w:r w:rsidR="00E52C5E" w:rsidRPr="4C229002">
              <w:rPr>
                <w:sz w:val="24"/>
                <w:szCs w:val="24"/>
              </w:rPr>
              <w:fldChar w:fldCharType="begin"/>
            </w:r>
            <w:r w:rsidR="00E52C5E" w:rsidRPr="00E52C5E">
              <w:rPr>
                <w:bCs/>
              </w:rPr>
              <w:instrText xml:space="preserve"> NUMPAGES  </w:instrText>
            </w:r>
            <w:r w:rsidR="00E52C5E" w:rsidRPr="4C229002">
              <w:rPr>
                <w:sz w:val="24"/>
                <w:szCs w:val="24"/>
              </w:rPr>
              <w:fldChar w:fldCharType="separate"/>
            </w:r>
            <w:r w:rsidR="00C73146">
              <w:rPr>
                <w:bCs/>
                <w:noProof/>
              </w:rPr>
              <w:t>3</w:t>
            </w:r>
            <w:r w:rsidR="00E52C5E" w:rsidRPr="4C229002">
              <w:rPr>
                <w:sz w:val="24"/>
                <w:szCs w:val="24"/>
              </w:rPr>
              <w:fldChar w:fldCharType="end"/>
            </w:r>
            <w:r w:rsidR="7437B299" w:rsidRPr="4C229002">
              <w:rPr>
                <w:sz w:val="24"/>
                <w:szCs w:val="24"/>
              </w:rPr>
              <w:t xml:space="preserve">. </w:t>
            </w:r>
            <w:r w:rsidR="7437B299">
              <w:t xml:space="preserve">Policy engagement fund </w:t>
            </w:r>
            <w:r w:rsidR="00CF4976">
              <w:t xml:space="preserve">guidance </w:t>
            </w:r>
            <w:r w:rsidR="7437B299">
              <w:t xml:space="preserve">– </w:t>
            </w:r>
            <w:r w:rsidR="00C73146">
              <w:t>28 April</w:t>
            </w:r>
            <w:r w:rsidR="7437B299">
              <w:t xml:space="preserve"> 202</w:t>
            </w:r>
            <w:r w:rsidR="00CF4976">
              <w:t>2</w:t>
            </w:r>
            <w:r w:rsidR="7437B299">
              <w:t>.</w:t>
            </w:r>
            <w:r w:rsidR="7437B299" w:rsidRPr="00843DA3">
              <w:rPr>
                <w:noProof/>
                <w:lang w:eastAsia="en-GB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69EA7" w14:textId="77777777" w:rsidR="003319EB" w:rsidRDefault="003319EB" w:rsidP="00EA2473">
      <w:pPr>
        <w:spacing w:after="0" w:line="240" w:lineRule="auto"/>
      </w:pPr>
      <w:r>
        <w:separator/>
      </w:r>
    </w:p>
  </w:footnote>
  <w:footnote w:type="continuationSeparator" w:id="0">
    <w:p w14:paraId="2A02A3F8" w14:textId="77777777" w:rsidR="003319EB" w:rsidRDefault="003319EB" w:rsidP="00EA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5CD12" w14:textId="77777777" w:rsidR="00E52C5E" w:rsidRDefault="00E52C5E" w:rsidP="00E52C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0030"/>
    <w:multiLevelType w:val="hybridMultilevel"/>
    <w:tmpl w:val="DAEE6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215BC"/>
    <w:multiLevelType w:val="hybridMultilevel"/>
    <w:tmpl w:val="C666EE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A1EFE"/>
    <w:multiLevelType w:val="hybridMultilevel"/>
    <w:tmpl w:val="8D7096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24E28"/>
    <w:multiLevelType w:val="hybridMultilevel"/>
    <w:tmpl w:val="32427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63521"/>
    <w:multiLevelType w:val="hybridMultilevel"/>
    <w:tmpl w:val="CA6C3A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8336E0"/>
    <w:multiLevelType w:val="hybridMultilevel"/>
    <w:tmpl w:val="C91E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7145B"/>
    <w:multiLevelType w:val="hybridMultilevel"/>
    <w:tmpl w:val="1D164350"/>
    <w:lvl w:ilvl="0" w:tplc="A8A8B7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E4D19"/>
    <w:multiLevelType w:val="hybridMultilevel"/>
    <w:tmpl w:val="1606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40509"/>
    <w:multiLevelType w:val="hybridMultilevel"/>
    <w:tmpl w:val="B75C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4388"/>
    <w:multiLevelType w:val="hybridMultilevel"/>
    <w:tmpl w:val="E3608B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7BE4"/>
    <w:multiLevelType w:val="multilevel"/>
    <w:tmpl w:val="3C1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E54A4"/>
    <w:multiLevelType w:val="hybridMultilevel"/>
    <w:tmpl w:val="DABC1AC2"/>
    <w:lvl w:ilvl="0" w:tplc="B7D28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46B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F66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F21F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B0C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EEF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007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C88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1E6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90"/>
    <w:rsid w:val="00011AE5"/>
    <w:rsid w:val="0003687B"/>
    <w:rsid w:val="000376DA"/>
    <w:rsid w:val="000C18FC"/>
    <w:rsid w:val="000D517A"/>
    <w:rsid w:val="000F592A"/>
    <w:rsid w:val="00136AE3"/>
    <w:rsid w:val="0017563C"/>
    <w:rsid w:val="00220649"/>
    <w:rsid w:val="00253736"/>
    <w:rsid w:val="002673F6"/>
    <w:rsid w:val="0028065F"/>
    <w:rsid w:val="002F0907"/>
    <w:rsid w:val="003319EB"/>
    <w:rsid w:val="00345E66"/>
    <w:rsid w:val="003E00F9"/>
    <w:rsid w:val="004325E7"/>
    <w:rsid w:val="004346E8"/>
    <w:rsid w:val="00454B75"/>
    <w:rsid w:val="00456A23"/>
    <w:rsid w:val="004D3A53"/>
    <w:rsid w:val="004F5868"/>
    <w:rsid w:val="00527824"/>
    <w:rsid w:val="0054256F"/>
    <w:rsid w:val="00593EF7"/>
    <w:rsid w:val="005A5128"/>
    <w:rsid w:val="005F73A3"/>
    <w:rsid w:val="00611D11"/>
    <w:rsid w:val="006433E4"/>
    <w:rsid w:val="0068746A"/>
    <w:rsid w:val="00697720"/>
    <w:rsid w:val="006B1226"/>
    <w:rsid w:val="006D16B6"/>
    <w:rsid w:val="006D6B05"/>
    <w:rsid w:val="00710927"/>
    <w:rsid w:val="00763EC0"/>
    <w:rsid w:val="007A2D58"/>
    <w:rsid w:val="007A77F6"/>
    <w:rsid w:val="007C1C1E"/>
    <w:rsid w:val="007D1067"/>
    <w:rsid w:val="00811DE2"/>
    <w:rsid w:val="00843458"/>
    <w:rsid w:val="00843DA3"/>
    <w:rsid w:val="00861A6C"/>
    <w:rsid w:val="00875B8D"/>
    <w:rsid w:val="008801EB"/>
    <w:rsid w:val="00916C2F"/>
    <w:rsid w:val="00916F95"/>
    <w:rsid w:val="0099657E"/>
    <w:rsid w:val="009C4716"/>
    <w:rsid w:val="00A27D2A"/>
    <w:rsid w:val="00A3532D"/>
    <w:rsid w:val="00A60C39"/>
    <w:rsid w:val="00AA0065"/>
    <w:rsid w:val="00AB6DA2"/>
    <w:rsid w:val="00AD29F4"/>
    <w:rsid w:val="00AF02A0"/>
    <w:rsid w:val="00B07E8E"/>
    <w:rsid w:val="00B21890"/>
    <w:rsid w:val="00B3076A"/>
    <w:rsid w:val="00B9715A"/>
    <w:rsid w:val="00BA0FA8"/>
    <w:rsid w:val="00BB7CCC"/>
    <w:rsid w:val="00BC0800"/>
    <w:rsid w:val="00C378C6"/>
    <w:rsid w:val="00C73146"/>
    <w:rsid w:val="00CE0DD0"/>
    <w:rsid w:val="00CF4976"/>
    <w:rsid w:val="00D54A89"/>
    <w:rsid w:val="00D62981"/>
    <w:rsid w:val="00E52C5E"/>
    <w:rsid w:val="00E6512E"/>
    <w:rsid w:val="00E65B44"/>
    <w:rsid w:val="00E72A16"/>
    <w:rsid w:val="00EA2473"/>
    <w:rsid w:val="00ED5454"/>
    <w:rsid w:val="00EE02E3"/>
    <w:rsid w:val="00EF15AA"/>
    <w:rsid w:val="00F07E9E"/>
    <w:rsid w:val="00FB6EC1"/>
    <w:rsid w:val="026DDA82"/>
    <w:rsid w:val="120F462F"/>
    <w:rsid w:val="2FCA7D47"/>
    <w:rsid w:val="4C229002"/>
    <w:rsid w:val="549DCFF0"/>
    <w:rsid w:val="5E9F02FD"/>
    <w:rsid w:val="6FC250EE"/>
    <w:rsid w:val="7154D5E1"/>
    <w:rsid w:val="7437B299"/>
    <w:rsid w:val="7AE28FCA"/>
    <w:rsid w:val="7CDCA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5FBF2"/>
  <w15:chartTrackingRefBased/>
  <w15:docId w15:val="{6BA21EF9-37DE-469E-AB52-D65F2069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E6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1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1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73"/>
  </w:style>
  <w:style w:type="paragraph" w:styleId="Footer">
    <w:name w:val="footer"/>
    <w:basedOn w:val="Normal"/>
    <w:link w:val="FooterChar"/>
    <w:uiPriority w:val="99"/>
    <w:unhideWhenUsed/>
    <w:rsid w:val="00EA2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73"/>
  </w:style>
  <w:style w:type="paragraph" w:styleId="ListParagraph">
    <w:name w:val="List Paragraph"/>
    <w:basedOn w:val="Normal"/>
    <w:uiPriority w:val="34"/>
    <w:qFormat/>
    <w:rsid w:val="007C1C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5E66"/>
    <w:rPr>
      <w:rFonts w:asciiTheme="majorHAnsi" w:eastAsiaTheme="majorEastAsia" w:hAnsiTheme="majorHAnsi" w:cstheme="majorBidi"/>
      <w:sz w:val="32"/>
      <w:szCs w:val="32"/>
    </w:rPr>
  </w:style>
  <w:style w:type="paragraph" w:styleId="NoSpacing">
    <w:name w:val="No Spacing"/>
    <w:uiPriority w:val="1"/>
    <w:qFormat/>
    <w:rsid w:val="00345E6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9715A"/>
    <w:rPr>
      <w:rFonts w:asciiTheme="majorHAnsi" w:eastAsiaTheme="majorEastAsia" w:hAnsiTheme="majorHAnsi" w:cstheme="majorBidi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8065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65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51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licyleeds@leeds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nowledge-exchange@leeds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41B2874ABCF419A8541BE30AF4492" ma:contentTypeVersion="10" ma:contentTypeDescription="Create a new document." ma:contentTypeScope="" ma:versionID="96c806231c293f0bb43aa1482b86d866">
  <xsd:schema xmlns:xsd="http://www.w3.org/2001/XMLSchema" xmlns:xs="http://www.w3.org/2001/XMLSchema" xmlns:p="http://schemas.microsoft.com/office/2006/metadata/properties" xmlns:ns2="c9e31daf-70a5-434a-8bd0-7c794fac6794" xmlns:ns3="a9fcd6de-142c-4913-8396-a432eca408f0" targetNamespace="http://schemas.microsoft.com/office/2006/metadata/properties" ma:root="true" ma:fieldsID="02e2ab8549722db618dc270bda9b83ec" ns2:_="" ns3:_="">
    <xsd:import namespace="c9e31daf-70a5-434a-8bd0-7c794fac6794"/>
    <xsd:import namespace="a9fcd6de-142c-4913-8396-a432eca40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1daf-70a5-434a-8bd0-7c794fac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cd6de-142c-4913-8396-a432eca40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FC48C-A1B2-461D-B102-A269CF300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1D22F-9B08-4EEE-9233-EAC8072F9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C58E81-5C5C-4ADC-9CCE-670515BE8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1daf-70a5-434a-8bd0-7c794fac6794"/>
    <ds:schemaRef ds:uri="a9fcd6de-142c-4913-8396-a432eca40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JulietJopson</dc:creator>
  <cp:keywords/>
  <dc:description/>
  <cp:lastModifiedBy>Juliet Jopson</cp:lastModifiedBy>
  <cp:revision>4</cp:revision>
  <dcterms:created xsi:type="dcterms:W3CDTF">2022-02-14T11:54:00Z</dcterms:created>
  <dcterms:modified xsi:type="dcterms:W3CDTF">2022-04-28T08:09:00Z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0x010100B8641B2874ABCF419A8541BE30AF4492</vt:lpwstr>
  </property>
</Properties>
</file>