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E898" w14:textId="5317C45A" w:rsidR="00BD353D" w:rsidRPr="00543BFD" w:rsidRDefault="00195610" w:rsidP="00CA5C9E">
      <w:pPr>
        <w:pStyle w:val="Heading1"/>
        <w:rPr>
          <w:b w:val="0"/>
          <w:bCs/>
          <w:color w:val="auto"/>
          <w:sz w:val="40"/>
          <w:szCs w:val="40"/>
        </w:rPr>
      </w:pPr>
      <w:r w:rsidRPr="00543BFD">
        <w:rPr>
          <w:b w:val="0"/>
          <w:bCs/>
          <w:color w:val="auto"/>
          <w:sz w:val="40"/>
          <w:szCs w:val="40"/>
        </w:rPr>
        <w:t>UNIVERSITY OF LEEDS</w:t>
      </w:r>
      <w:r w:rsidR="002741D3">
        <w:rPr>
          <w:b w:val="0"/>
          <w:bCs/>
          <w:color w:val="auto"/>
          <w:sz w:val="40"/>
          <w:szCs w:val="40"/>
        </w:rPr>
        <w:t xml:space="preserve"> </w:t>
      </w:r>
      <w:r w:rsidR="00363497" w:rsidRPr="00543BFD">
        <w:rPr>
          <w:b w:val="0"/>
          <w:bCs/>
          <w:color w:val="auto"/>
          <w:sz w:val="40"/>
          <w:szCs w:val="40"/>
        </w:rPr>
        <w:t xml:space="preserve">Summary of </w:t>
      </w:r>
      <w:r w:rsidR="00BD353D" w:rsidRPr="00543BFD">
        <w:rPr>
          <w:b w:val="0"/>
          <w:bCs/>
          <w:color w:val="auto"/>
          <w:sz w:val="40"/>
          <w:szCs w:val="40"/>
        </w:rPr>
        <w:t xml:space="preserve">2020-21 to 2024-25 access and participation plan </w:t>
      </w:r>
    </w:p>
    <w:p w14:paraId="38ECCBE9" w14:textId="77777777" w:rsidR="00BD353D" w:rsidRPr="00543BFD" w:rsidRDefault="00BD353D" w:rsidP="00185332">
      <w:pPr>
        <w:pStyle w:val="Heading2"/>
        <w:rPr>
          <w:b w:val="0"/>
          <w:bCs/>
          <w:color w:val="auto"/>
          <w:sz w:val="32"/>
          <w:szCs w:val="32"/>
        </w:rPr>
      </w:pPr>
      <w:r w:rsidRPr="00543BFD">
        <w:rPr>
          <w:b w:val="0"/>
          <w:bCs/>
          <w:color w:val="auto"/>
          <w:sz w:val="32"/>
          <w:szCs w:val="32"/>
        </w:rPr>
        <w:t>What is an access and participation plan?</w:t>
      </w:r>
    </w:p>
    <w:p w14:paraId="0C19B530" w14:textId="43207AD4" w:rsidR="00BD353D" w:rsidRPr="00083A8D" w:rsidRDefault="00BD353D" w:rsidP="00BD353D">
      <w:pPr>
        <w:spacing w:beforeAutospacing="1" w:afterAutospacing="1"/>
        <w:rPr>
          <w:rFonts w:cs="Arial"/>
          <w:sz w:val="28"/>
          <w:szCs w:val="28"/>
        </w:rPr>
      </w:pPr>
      <w:r w:rsidRPr="00083A8D">
        <w:rPr>
          <w:rFonts w:cs="Arial"/>
          <w:sz w:val="28"/>
          <w:szCs w:val="28"/>
        </w:rPr>
        <w:t>Access and participation plans set out how higher education providers will improve equality of opportunity for underrepresented groups to access, succeed in and progress from higher education.</w:t>
      </w:r>
      <w:r w:rsidR="00363497" w:rsidRPr="00083A8D">
        <w:rPr>
          <w:rFonts w:cs="Arial"/>
          <w:sz w:val="28"/>
          <w:szCs w:val="28"/>
        </w:rPr>
        <w:t xml:space="preserve">  </w:t>
      </w:r>
      <w:r w:rsidR="004F5EF6" w:rsidRPr="00083A8D">
        <w:rPr>
          <w:rFonts w:cs="Arial"/>
          <w:sz w:val="28"/>
          <w:szCs w:val="28"/>
        </w:rPr>
        <w:t xml:space="preserve">See </w:t>
      </w:r>
      <w:r w:rsidR="00754325" w:rsidRPr="00083A8D">
        <w:rPr>
          <w:rFonts w:cs="Arial"/>
          <w:sz w:val="28"/>
          <w:szCs w:val="28"/>
        </w:rPr>
        <w:t xml:space="preserve">our full </w:t>
      </w:r>
      <w:hyperlink r:id="rId11" w:history="1">
        <w:r w:rsidR="004F5B2D" w:rsidRPr="004F5B2D">
          <w:rPr>
            <w:rStyle w:val="Hyperlink"/>
            <w:rFonts w:cs="Arial"/>
            <w:sz w:val="28"/>
            <w:szCs w:val="28"/>
          </w:rPr>
          <w:t xml:space="preserve">Access and Participation </w:t>
        </w:r>
        <w:r w:rsidR="00700FFE" w:rsidRPr="004F5B2D">
          <w:rPr>
            <w:rStyle w:val="Hyperlink"/>
            <w:rFonts w:cs="Arial"/>
            <w:sz w:val="28"/>
            <w:szCs w:val="28"/>
          </w:rPr>
          <w:t>p</w:t>
        </w:r>
        <w:r w:rsidR="0027428A" w:rsidRPr="004F5B2D">
          <w:rPr>
            <w:rStyle w:val="Hyperlink"/>
            <w:rFonts w:cs="Arial"/>
            <w:sz w:val="28"/>
            <w:szCs w:val="28"/>
          </w:rPr>
          <w:t>lan</w:t>
        </w:r>
      </w:hyperlink>
      <w:r w:rsidR="004F5B2D">
        <w:rPr>
          <w:rFonts w:cs="Arial"/>
          <w:sz w:val="28"/>
          <w:szCs w:val="28"/>
        </w:rPr>
        <w:t>.</w:t>
      </w:r>
      <w:r w:rsidR="0082596F">
        <w:rPr>
          <w:rFonts w:cs="Arial"/>
          <w:sz w:val="28"/>
          <w:szCs w:val="28"/>
        </w:rPr>
        <w:t xml:space="preserve"> </w:t>
      </w:r>
      <w:r w:rsidR="00AA3365" w:rsidRPr="00083A8D">
        <w:rPr>
          <w:rFonts w:cs="Arial"/>
          <w:sz w:val="28"/>
          <w:szCs w:val="28"/>
        </w:rPr>
        <w:t xml:space="preserve"> </w:t>
      </w:r>
    </w:p>
    <w:p w14:paraId="6A7C5A67" w14:textId="20A0D5BC" w:rsidR="00BD353D" w:rsidRPr="00543BFD" w:rsidRDefault="00BD353D" w:rsidP="00A867D2">
      <w:pPr>
        <w:pStyle w:val="Heading2"/>
        <w:rPr>
          <w:b w:val="0"/>
          <w:bCs/>
          <w:color w:val="auto"/>
          <w:sz w:val="32"/>
          <w:szCs w:val="32"/>
        </w:rPr>
      </w:pPr>
      <w:r w:rsidRPr="00543BFD">
        <w:rPr>
          <w:b w:val="0"/>
          <w:bCs/>
          <w:color w:val="auto"/>
          <w:sz w:val="32"/>
          <w:szCs w:val="32"/>
        </w:rPr>
        <w:t>Key points</w:t>
      </w:r>
    </w:p>
    <w:p w14:paraId="53A083DA" w14:textId="6F114596" w:rsidR="0076179E" w:rsidRPr="002741D3" w:rsidRDefault="0027428A" w:rsidP="002741D3">
      <w:pPr>
        <w:pStyle w:val="BodyTextIndent"/>
        <w:tabs>
          <w:tab w:val="left" w:pos="284"/>
        </w:tabs>
        <w:rPr>
          <w:sz w:val="28"/>
          <w:szCs w:val="28"/>
        </w:rPr>
      </w:pPr>
      <w:r w:rsidRPr="002741D3">
        <w:rPr>
          <w:sz w:val="28"/>
          <w:szCs w:val="28"/>
        </w:rPr>
        <w:t>Our P</w:t>
      </w:r>
      <w:r w:rsidR="00B406C6" w:rsidRPr="002741D3">
        <w:rPr>
          <w:sz w:val="28"/>
          <w:szCs w:val="28"/>
        </w:rPr>
        <w:t xml:space="preserve">lan outlines some of the ways we are working to improve </w:t>
      </w:r>
      <w:r w:rsidRPr="002741D3">
        <w:rPr>
          <w:sz w:val="28"/>
          <w:szCs w:val="28"/>
        </w:rPr>
        <w:t xml:space="preserve">students’ </w:t>
      </w:r>
      <w:r w:rsidR="00B406C6" w:rsidRPr="002741D3">
        <w:rPr>
          <w:sz w:val="28"/>
          <w:szCs w:val="28"/>
        </w:rPr>
        <w:t xml:space="preserve">outcomes </w:t>
      </w:r>
      <w:r w:rsidRPr="002741D3">
        <w:rPr>
          <w:sz w:val="28"/>
          <w:szCs w:val="28"/>
        </w:rPr>
        <w:t xml:space="preserve">here at </w:t>
      </w:r>
      <w:r w:rsidR="00881F5C" w:rsidRPr="002741D3">
        <w:rPr>
          <w:sz w:val="28"/>
          <w:szCs w:val="28"/>
        </w:rPr>
        <w:t>Leeds</w:t>
      </w:r>
      <w:r w:rsidR="0076179E" w:rsidRPr="002741D3">
        <w:rPr>
          <w:sz w:val="28"/>
          <w:szCs w:val="28"/>
        </w:rPr>
        <w:t xml:space="preserve">.  </w:t>
      </w:r>
      <w:r w:rsidR="00B77EE4" w:rsidRPr="002741D3">
        <w:rPr>
          <w:sz w:val="28"/>
          <w:szCs w:val="28"/>
        </w:rPr>
        <w:t>We know</w:t>
      </w:r>
      <w:r w:rsidR="0076179E" w:rsidRPr="002741D3">
        <w:rPr>
          <w:sz w:val="28"/>
          <w:szCs w:val="28"/>
        </w:rPr>
        <w:t xml:space="preserve"> that outcomes are lower for some</w:t>
      </w:r>
      <w:r w:rsidR="00881F5C" w:rsidRPr="002741D3">
        <w:rPr>
          <w:sz w:val="28"/>
          <w:szCs w:val="28"/>
        </w:rPr>
        <w:t xml:space="preserve"> of these</w:t>
      </w:r>
      <w:r w:rsidR="0076179E" w:rsidRPr="002741D3">
        <w:rPr>
          <w:sz w:val="28"/>
          <w:szCs w:val="28"/>
        </w:rPr>
        <w:t xml:space="preserve"> groups:</w:t>
      </w:r>
      <w:r w:rsidR="00B406C6" w:rsidRPr="002741D3">
        <w:rPr>
          <w:sz w:val="28"/>
          <w:szCs w:val="28"/>
        </w:rPr>
        <w:t xml:space="preserve"> </w:t>
      </w:r>
    </w:p>
    <w:p w14:paraId="2E94AD0D" w14:textId="309B6F0C" w:rsidR="0076179E" w:rsidRPr="00EF2F3C" w:rsidRDefault="0076179E" w:rsidP="0076179E">
      <w:pPr>
        <w:pStyle w:val="Default"/>
        <w:numPr>
          <w:ilvl w:val="0"/>
          <w:numId w:val="24"/>
        </w:numPr>
        <w:rPr>
          <w:sz w:val="28"/>
          <w:szCs w:val="28"/>
        </w:rPr>
      </w:pPr>
      <w:r w:rsidRPr="00EF2F3C">
        <w:rPr>
          <w:sz w:val="28"/>
          <w:szCs w:val="28"/>
        </w:rPr>
        <w:t>S</w:t>
      </w:r>
      <w:r w:rsidR="00B406C6" w:rsidRPr="00EF2F3C">
        <w:rPr>
          <w:sz w:val="28"/>
          <w:szCs w:val="28"/>
        </w:rPr>
        <w:t xml:space="preserve">tudents from neighbourhoods where not many </w:t>
      </w:r>
      <w:r w:rsidR="00970F46" w:rsidRPr="00EF2F3C">
        <w:rPr>
          <w:sz w:val="28"/>
          <w:szCs w:val="28"/>
        </w:rPr>
        <w:t>people go onto higher education</w:t>
      </w:r>
      <w:r w:rsidR="00363497" w:rsidRPr="00EF2F3C">
        <w:rPr>
          <w:sz w:val="28"/>
          <w:szCs w:val="28"/>
        </w:rPr>
        <w:t>,</w:t>
      </w:r>
      <w:r w:rsidR="00970F46" w:rsidRPr="00EF2F3C">
        <w:rPr>
          <w:sz w:val="28"/>
          <w:szCs w:val="28"/>
        </w:rPr>
        <w:t xml:space="preserve"> mature students </w:t>
      </w:r>
      <w:r w:rsidR="00B406C6" w:rsidRPr="00EF2F3C">
        <w:rPr>
          <w:sz w:val="28"/>
          <w:szCs w:val="28"/>
        </w:rPr>
        <w:t>and ethnic minority students</w:t>
      </w:r>
      <w:r w:rsidRPr="00EF2F3C">
        <w:rPr>
          <w:sz w:val="28"/>
          <w:szCs w:val="28"/>
        </w:rPr>
        <w:t xml:space="preserve"> are less likely to complete their degree or achieve a degree award of 2:1 or above.</w:t>
      </w:r>
      <w:r w:rsidR="00B406C6" w:rsidRPr="00EF2F3C">
        <w:rPr>
          <w:sz w:val="28"/>
          <w:szCs w:val="28"/>
        </w:rPr>
        <w:t xml:space="preserve"> </w:t>
      </w:r>
    </w:p>
    <w:p w14:paraId="33DEA686" w14:textId="7C606A54" w:rsidR="00970F46" w:rsidRPr="00EF2F3C" w:rsidRDefault="0076179E" w:rsidP="0076179E">
      <w:pPr>
        <w:pStyle w:val="Default"/>
        <w:numPr>
          <w:ilvl w:val="0"/>
          <w:numId w:val="24"/>
        </w:numPr>
        <w:rPr>
          <w:sz w:val="28"/>
          <w:szCs w:val="28"/>
        </w:rPr>
      </w:pPr>
      <w:r w:rsidRPr="00EF2F3C">
        <w:rPr>
          <w:sz w:val="28"/>
          <w:szCs w:val="28"/>
        </w:rPr>
        <w:t>M</w:t>
      </w:r>
      <w:r w:rsidR="002F01B1" w:rsidRPr="00EF2F3C">
        <w:rPr>
          <w:sz w:val="28"/>
          <w:szCs w:val="28"/>
        </w:rPr>
        <w:t xml:space="preserve">ature students and </w:t>
      </w:r>
      <w:r w:rsidR="00970F46" w:rsidRPr="00EF2F3C">
        <w:rPr>
          <w:sz w:val="28"/>
          <w:szCs w:val="28"/>
        </w:rPr>
        <w:t>students from neighbourhoods where not many people go onto higher education a</w:t>
      </w:r>
      <w:r w:rsidRPr="00EF2F3C">
        <w:rPr>
          <w:sz w:val="28"/>
          <w:szCs w:val="28"/>
        </w:rPr>
        <w:t xml:space="preserve">re also less likely to </w:t>
      </w:r>
      <w:r w:rsidR="00881F5C" w:rsidRPr="00EF2F3C">
        <w:rPr>
          <w:sz w:val="28"/>
          <w:szCs w:val="28"/>
        </w:rPr>
        <w:t>come to Leeds</w:t>
      </w:r>
    </w:p>
    <w:p w14:paraId="3A94FEA1" w14:textId="021717D8" w:rsidR="00BD353D" w:rsidRPr="00543BFD" w:rsidRDefault="00363497" w:rsidP="00E7191F">
      <w:pPr>
        <w:pStyle w:val="Heading2"/>
        <w:rPr>
          <w:b w:val="0"/>
          <w:bCs/>
          <w:sz w:val="32"/>
          <w:szCs w:val="32"/>
        </w:rPr>
      </w:pPr>
      <w:r>
        <w:br/>
      </w:r>
      <w:r w:rsidR="00BD353D" w:rsidRPr="00543BFD">
        <w:rPr>
          <w:b w:val="0"/>
          <w:bCs/>
          <w:color w:val="auto"/>
          <w:sz w:val="32"/>
          <w:szCs w:val="32"/>
        </w:rPr>
        <w:t>Fees we charge </w:t>
      </w:r>
    </w:p>
    <w:p w14:paraId="7C04218F" w14:textId="48D49EC7" w:rsidR="00BD353D" w:rsidRPr="00EF2F3C" w:rsidRDefault="0027428A" w:rsidP="00BD353D">
      <w:pPr>
        <w:rPr>
          <w:sz w:val="28"/>
          <w:szCs w:val="28"/>
        </w:rPr>
      </w:pPr>
      <w:r w:rsidRPr="00EF2F3C">
        <w:rPr>
          <w:sz w:val="28"/>
          <w:szCs w:val="28"/>
        </w:rPr>
        <w:t>T</w:t>
      </w:r>
      <w:r w:rsidR="00597407" w:rsidRPr="00EF2F3C">
        <w:rPr>
          <w:sz w:val="28"/>
          <w:szCs w:val="28"/>
        </w:rPr>
        <w:t xml:space="preserve">he maximum fees </w:t>
      </w:r>
      <w:r w:rsidRPr="00EF2F3C">
        <w:rPr>
          <w:sz w:val="28"/>
          <w:szCs w:val="28"/>
        </w:rPr>
        <w:t xml:space="preserve">we </w:t>
      </w:r>
      <w:r w:rsidR="00597407" w:rsidRPr="00EF2F3C">
        <w:rPr>
          <w:sz w:val="28"/>
          <w:szCs w:val="28"/>
        </w:rPr>
        <w:t xml:space="preserve">charge are £9,250 for full-time students and </w:t>
      </w:r>
      <w:r w:rsidR="0071057D" w:rsidRPr="00EF2F3C">
        <w:rPr>
          <w:sz w:val="28"/>
          <w:szCs w:val="28"/>
        </w:rPr>
        <w:t>£6,935 for part-time students.</w:t>
      </w:r>
      <w:r w:rsidR="004C7CC2" w:rsidRPr="00EF2F3C">
        <w:rPr>
          <w:sz w:val="28"/>
          <w:szCs w:val="28"/>
        </w:rPr>
        <w:t xml:space="preserve"> </w:t>
      </w:r>
      <w:r w:rsidR="006522E3">
        <w:rPr>
          <w:sz w:val="28"/>
          <w:szCs w:val="28"/>
        </w:rPr>
        <w:t>See our</w:t>
      </w:r>
      <w:r w:rsidR="004C7CC2" w:rsidRPr="00EF2F3C">
        <w:rPr>
          <w:sz w:val="28"/>
          <w:szCs w:val="28"/>
        </w:rPr>
        <w:t xml:space="preserve"> full list of </w:t>
      </w:r>
      <w:hyperlink r:id="rId12" w:history="1">
        <w:r w:rsidR="004C7CC2" w:rsidRPr="006522E3">
          <w:rPr>
            <w:rStyle w:val="Hyperlink"/>
            <w:sz w:val="28"/>
            <w:szCs w:val="28"/>
          </w:rPr>
          <w:t>fees for our courses</w:t>
        </w:r>
      </w:hyperlink>
      <w:r w:rsidR="004C7CC2" w:rsidRPr="00EF2F3C">
        <w:rPr>
          <w:sz w:val="28"/>
          <w:szCs w:val="28"/>
        </w:rPr>
        <w:t>.</w:t>
      </w:r>
    </w:p>
    <w:p w14:paraId="2816A761" w14:textId="3BAA746A" w:rsidR="0071057D" w:rsidRPr="00EF2F3C" w:rsidRDefault="0071057D" w:rsidP="00BD353D">
      <w:pPr>
        <w:rPr>
          <w:b/>
          <w:sz w:val="28"/>
          <w:szCs w:val="28"/>
        </w:rPr>
      </w:pPr>
      <w:r w:rsidRPr="00EF2F3C">
        <w:rPr>
          <w:sz w:val="28"/>
          <w:szCs w:val="28"/>
        </w:rPr>
        <w:t>Subject to the</w:t>
      </w:r>
      <w:r w:rsidR="00597407" w:rsidRPr="00EF2F3C">
        <w:rPr>
          <w:sz w:val="28"/>
          <w:szCs w:val="28"/>
        </w:rPr>
        <w:t xml:space="preserve"> maximum fee limits</w:t>
      </w:r>
      <w:r w:rsidRPr="00EF2F3C">
        <w:rPr>
          <w:sz w:val="28"/>
          <w:szCs w:val="28"/>
        </w:rPr>
        <w:t xml:space="preserve"> </w:t>
      </w:r>
      <w:r w:rsidR="004C7CC2" w:rsidRPr="00EF2F3C">
        <w:rPr>
          <w:sz w:val="28"/>
          <w:szCs w:val="28"/>
        </w:rPr>
        <w:t xml:space="preserve">set by Government </w:t>
      </w:r>
      <w:r w:rsidRPr="00EF2F3C">
        <w:rPr>
          <w:sz w:val="28"/>
          <w:szCs w:val="28"/>
        </w:rPr>
        <w:t xml:space="preserve">we </w:t>
      </w:r>
      <w:r w:rsidR="004C7CC2" w:rsidRPr="00EF2F3C">
        <w:rPr>
          <w:sz w:val="28"/>
          <w:szCs w:val="28"/>
        </w:rPr>
        <w:t xml:space="preserve">do </w:t>
      </w:r>
      <w:r w:rsidRPr="00EF2F3C">
        <w:rPr>
          <w:sz w:val="28"/>
          <w:szCs w:val="28"/>
        </w:rPr>
        <w:t>intend to increase fees each year using the RPI-X</w:t>
      </w:r>
      <w:r w:rsidR="004C7CC2" w:rsidRPr="00EF2F3C">
        <w:rPr>
          <w:sz w:val="28"/>
          <w:szCs w:val="28"/>
        </w:rPr>
        <w:t xml:space="preserve"> as a measure</w:t>
      </w:r>
      <w:r w:rsidRPr="00EF2F3C">
        <w:rPr>
          <w:sz w:val="28"/>
          <w:szCs w:val="28"/>
        </w:rPr>
        <w:t>.</w:t>
      </w:r>
      <w:r w:rsidR="00363497" w:rsidRPr="00EF2F3C">
        <w:rPr>
          <w:sz w:val="28"/>
          <w:szCs w:val="28"/>
        </w:rPr>
        <w:t xml:space="preserve"> </w:t>
      </w:r>
    </w:p>
    <w:p w14:paraId="71BBCF80" w14:textId="1EAA7554" w:rsidR="00BD353D" w:rsidRPr="00543BFD" w:rsidRDefault="00BD353D" w:rsidP="00E7191F">
      <w:pPr>
        <w:pStyle w:val="Heading2"/>
        <w:rPr>
          <w:b w:val="0"/>
          <w:bCs/>
          <w:color w:val="auto"/>
          <w:sz w:val="32"/>
          <w:szCs w:val="32"/>
        </w:rPr>
      </w:pPr>
      <w:r w:rsidRPr="00543BFD">
        <w:rPr>
          <w:b w:val="0"/>
          <w:bCs/>
          <w:color w:val="auto"/>
          <w:sz w:val="32"/>
          <w:szCs w:val="32"/>
        </w:rPr>
        <w:t>Financial help available</w:t>
      </w:r>
    </w:p>
    <w:p w14:paraId="5B524A13" w14:textId="35FD48D9" w:rsidR="00AA43F2" w:rsidRDefault="0027428A" w:rsidP="0071057D">
      <w:pPr>
        <w:rPr>
          <w:sz w:val="28"/>
          <w:szCs w:val="28"/>
        </w:rPr>
      </w:pPr>
      <w:r w:rsidRPr="00602226">
        <w:rPr>
          <w:sz w:val="28"/>
          <w:szCs w:val="28"/>
        </w:rPr>
        <w:t>Our</w:t>
      </w:r>
      <w:r w:rsidRPr="00602226">
        <w:rPr>
          <w:b/>
          <w:sz w:val="28"/>
          <w:szCs w:val="28"/>
        </w:rPr>
        <w:t xml:space="preserve"> </w:t>
      </w:r>
      <w:hyperlink r:id="rId13" w:history="1">
        <w:r w:rsidR="00AA43F2" w:rsidRPr="006522E3">
          <w:rPr>
            <w:rStyle w:val="Hyperlink"/>
            <w:sz w:val="28"/>
            <w:szCs w:val="28"/>
          </w:rPr>
          <w:t>Leeds Bursary</w:t>
        </w:r>
      </w:hyperlink>
      <w:r w:rsidR="00AA43F2" w:rsidRPr="00602226">
        <w:rPr>
          <w:sz w:val="28"/>
          <w:szCs w:val="28"/>
        </w:rPr>
        <w:t xml:space="preserve"> </w:t>
      </w:r>
      <w:r w:rsidR="0071057D" w:rsidRPr="00602226">
        <w:rPr>
          <w:sz w:val="28"/>
          <w:szCs w:val="28"/>
        </w:rPr>
        <w:t>offers full and part-time students a choice of a fee discount, cash or contribution towards accommodation</w:t>
      </w:r>
      <w:r w:rsidR="00881F5C" w:rsidRPr="00602226">
        <w:rPr>
          <w:sz w:val="28"/>
          <w:szCs w:val="28"/>
        </w:rPr>
        <w:t>.</w:t>
      </w:r>
      <w:r w:rsidR="003729A9" w:rsidRPr="00602226">
        <w:rPr>
          <w:sz w:val="28"/>
          <w:szCs w:val="28"/>
        </w:rPr>
        <w:t xml:space="preserve"> </w:t>
      </w:r>
    </w:p>
    <w:p w14:paraId="50E0706B" w14:textId="77777777" w:rsidR="006522E3" w:rsidRPr="00602226" w:rsidRDefault="006522E3" w:rsidP="0071057D">
      <w:pPr>
        <w:rPr>
          <w:sz w:val="28"/>
          <w:szCs w:val="28"/>
        </w:rPr>
      </w:pPr>
    </w:p>
    <w:p w14:paraId="532C0F86" w14:textId="1E4FA168" w:rsidR="00AA43F2" w:rsidRPr="0067016D" w:rsidRDefault="00AA43F2" w:rsidP="002741D3">
      <w:pPr>
        <w:pStyle w:val="Heading3"/>
        <w:rPr>
          <w:b w:val="0"/>
          <w:color w:val="auto"/>
          <w:sz w:val="28"/>
          <w:szCs w:val="28"/>
        </w:rPr>
      </w:pPr>
      <w:bookmarkStart w:id="0" w:name="_GoBack"/>
      <w:r w:rsidRPr="0067016D">
        <w:rPr>
          <w:b w:val="0"/>
          <w:color w:val="auto"/>
          <w:sz w:val="28"/>
          <w:szCs w:val="28"/>
        </w:rPr>
        <w:t>Leeds Bursary – Full-time</w:t>
      </w:r>
    </w:p>
    <w:tbl>
      <w:tblPr>
        <w:tblStyle w:val="GridTable5Dark-Accent2"/>
        <w:tblW w:w="0" w:type="auto"/>
        <w:jc w:val="center"/>
        <w:tblLook w:val="00A0" w:firstRow="1" w:lastRow="0" w:firstColumn="1" w:lastColumn="0" w:noHBand="0" w:noVBand="0"/>
        <w:tblCaption w:val="Leeds Bursary Award Value for Full-time students "/>
        <w:tblDescription w:val="Table describing the value of the Leeds Bursary for full-time students, based on the student's household income.  "/>
      </w:tblPr>
      <w:tblGrid>
        <w:gridCol w:w="3117"/>
        <w:gridCol w:w="3117"/>
        <w:gridCol w:w="3117"/>
      </w:tblGrid>
      <w:tr w:rsidR="00185A8E" w:rsidRPr="00866520" w14:paraId="0D884EB5" w14:textId="77777777" w:rsidTr="008E4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bookmarkEnd w:id="0"/>
          <w:p w14:paraId="626ED89D" w14:textId="77777777" w:rsidR="009D71CA" w:rsidRPr="00866520" w:rsidRDefault="009D71CA" w:rsidP="009D71CA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Household Income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7" w:type="dxa"/>
          </w:tcPr>
          <w:p w14:paraId="5178E72F" w14:textId="77777777" w:rsidR="009D71CA" w:rsidRPr="00866520" w:rsidRDefault="009D71CA" w:rsidP="009D71CA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Award Amount Year 0 (foundation year only)</w:t>
            </w:r>
          </w:p>
        </w:tc>
        <w:tc>
          <w:tcPr>
            <w:tcW w:w="3117" w:type="dxa"/>
          </w:tcPr>
          <w:p w14:paraId="6C2C5173" w14:textId="77777777" w:rsidR="006522E3" w:rsidRDefault="009D71CA" w:rsidP="00652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866520">
              <w:rPr>
                <w:rFonts w:cs="Arial"/>
                <w:b w:val="0"/>
                <w:color w:val="auto"/>
                <w:sz w:val="28"/>
                <w:szCs w:val="28"/>
              </w:rPr>
              <w:t>Award amount</w:t>
            </w:r>
          </w:p>
          <w:p w14:paraId="2649E259" w14:textId="544813CC" w:rsidR="009D71CA" w:rsidRPr="00866520" w:rsidRDefault="009D71CA" w:rsidP="00652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rFonts w:cs="Arial"/>
                <w:b w:val="0"/>
                <w:color w:val="auto"/>
                <w:sz w:val="28"/>
                <w:szCs w:val="28"/>
              </w:rPr>
              <w:t>Year 1 and subsequent years</w:t>
            </w:r>
          </w:p>
        </w:tc>
      </w:tr>
      <w:tr w:rsidR="00185A8E" w:rsidRPr="00866520" w14:paraId="5BD8740D" w14:textId="77777777" w:rsidTr="008E4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41402D20" w14:textId="77777777" w:rsidR="009D71CA" w:rsidRPr="00866520" w:rsidRDefault="009D71CA" w:rsidP="009D71CA">
            <w:pPr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£0 - £25,000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7" w:type="dxa"/>
          </w:tcPr>
          <w:p w14:paraId="56100761" w14:textId="77777777" w:rsidR="009D71CA" w:rsidRPr="00866520" w:rsidRDefault="009D71CA" w:rsidP="009D71CA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£3,000</w:t>
            </w:r>
          </w:p>
        </w:tc>
        <w:tc>
          <w:tcPr>
            <w:tcW w:w="3117" w:type="dxa"/>
          </w:tcPr>
          <w:p w14:paraId="3FF7FD83" w14:textId="77777777" w:rsidR="009D71CA" w:rsidRPr="00866520" w:rsidRDefault="009D71CA" w:rsidP="009D7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£2,000</w:t>
            </w:r>
          </w:p>
        </w:tc>
      </w:tr>
      <w:tr w:rsidR="00185A8E" w:rsidRPr="00866520" w14:paraId="405C0735" w14:textId="77777777" w:rsidTr="008E4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19E90BC3" w14:textId="77777777" w:rsidR="009D71CA" w:rsidRPr="00866520" w:rsidRDefault="009D71CA" w:rsidP="009D71CA">
            <w:pPr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£25,001 - £30,000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7" w:type="dxa"/>
          </w:tcPr>
          <w:p w14:paraId="1C75070B" w14:textId="77777777" w:rsidR="009D71CA" w:rsidRPr="00866520" w:rsidRDefault="009D71CA" w:rsidP="009D71CA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£1,500</w:t>
            </w:r>
          </w:p>
        </w:tc>
        <w:tc>
          <w:tcPr>
            <w:tcW w:w="3117" w:type="dxa"/>
          </w:tcPr>
          <w:p w14:paraId="509BE43F" w14:textId="77777777" w:rsidR="009D71CA" w:rsidRPr="00866520" w:rsidRDefault="009D71CA" w:rsidP="009D7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£1,500</w:t>
            </w:r>
          </w:p>
        </w:tc>
      </w:tr>
      <w:tr w:rsidR="00185A8E" w:rsidRPr="00866520" w14:paraId="4E8C3B90" w14:textId="77777777" w:rsidTr="008E4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258D495B" w14:textId="77777777" w:rsidR="009D71CA" w:rsidRPr="00866520" w:rsidRDefault="009D71CA" w:rsidP="009D71CA">
            <w:pPr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£30,001 - £36,000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7" w:type="dxa"/>
          </w:tcPr>
          <w:p w14:paraId="3843FE60" w14:textId="77777777" w:rsidR="009D71CA" w:rsidRPr="00866520" w:rsidRDefault="009D71CA" w:rsidP="009D71CA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£1,000</w:t>
            </w:r>
          </w:p>
        </w:tc>
        <w:tc>
          <w:tcPr>
            <w:tcW w:w="3117" w:type="dxa"/>
          </w:tcPr>
          <w:p w14:paraId="23828C4F" w14:textId="77777777" w:rsidR="009D71CA" w:rsidRPr="00866520" w:rsidRDefault="009D71CA" w:rsidP="009D7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£1,000</w:t>
            </w:r>
          </w:p>
        </w:tc>
      </w:tr>
      <w:tr w:rsidR="00185A8E" w:rsidRPr="00866520" w14:paraId="2A983F78" w14:textId="77777777" w:rsidTr="008E4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74D5DB20" w14:textId="5704051C" w:rsidR="009D71CA" w:rsidRPr="00866520" w:rsidRDefault="009D71CA" w:rsidP="009D71CA">
            <w:pPr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£36,001 - £42,875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7" w:type="dxa"/>
          </w:tcPr>
          <w:p w14:paraId="4B445655" w14:textId="77777777" w:rsidR="009D71CA" w:rsidRPr="00866520" w:rsidRDefault="009D71CA" w:rsidP="009D71CA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£500</w:t>
            </w:r>
          </w:p>
        </w:tc>
        <w:tc>
          <w:tcPr>
            <w:tcW w:w="3117" w:type="dxa"/>
          </w:tcPr>
          <w:p w14:paraId="17B0D086" w14:textId="77777777" w:rsidR="009D71CA" w:rsidRPr="00866520" w:rsidRDefault="009D71CA" w:rsidP="009D7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No award</w:t>
            </w:r>
          </w:p>
        </w:tc>
      </w:tr>
    </w:tbl>
    <w:p w14:paraId="33DA0621" w14:textId="1D404661" w:rsidR="00AA43F2" w:rsidRPr="0067016D" w:rsidRDefault="00597407" w:rsidP="002741D3">
      <w:pPr>
        <w:pStyle w:val="Heading3"/>
        <w:rPr>
          <w:b w:val="0"/>
          <w:sz w:val="28"/>
          <w:szCs w:val="28"/>
        </w:rPr>
      </w:pPr>
      <w:r w:rsidRPr="0067016D">
        <w:rPr>
          <w:sz w:val="28"/>
          <w:szCs w:val="28"/>
        </w:rPr>
        <w:lastRenderedPageBreak/>
        <w:br/>
      </w:r>
      <w:r w:rsidR="00AA43F2" w:rsidRPr="0067016D">
        <w:rPr>
          <w:b w:val="0"/>
          <w:color w:val="auto"/>
          <w:sz w:val="28"/>
          <w:szCs w:val="28"/>
        </w:rPr>
        <w:t>Leeds Bursary Part-time</w:t>
      </w:r>
    </w:p>
    <w:tbl>
      <w:tblPr>
        <w:tblStyle w:val="GridTable5Dark-Accent4"/>
        <w:tblW w:w="0" w:type="auto"/>
        <w:jc w:val="center"/>
        <w:tblLook w:val="00A0" w:firstRow="1" w:lastRow="0" w:firstColumn="1" w:lastColumn="0" w:noHBand="0" w:noVBand="0"/>
        <w:tblCaption w:val="Leeds Bursary Award Value for Part-time students"/>
        <w:tblDescription w:val="Table describing the value of the Leeds Bursary for part-time students, based on the student's household income.  "/>
      </w:tblPr>
      <w:tblGrid>
        <w:gridCol w:w="3119"/>
        <w:gridCol w:w="2977"/>
        <w:gridCol w:w="3255"/>
      </w:tblGrid>
      <w:tr w:rsidR="00AA43F2" w:rsidRPr="00866520" w14:paraId="6DDAFA49" w14:textId="77777777" w:rsidTr="00BB3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1F3B732" w14:textId="77777777" w:rsidR="00AA43F2" w:rsidRPr="00866520" w:rsidRDefault="00AA43F2" w:rsidP="006B4348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Household Income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F1B434" w:themeFill="accent2"/>
          </w:tcPr>
          <w:p w14:paraId="15E702E8" w14:textId="77777777" w:rsidR="006522E3" w:rsidRDefault="00AA43F2" w:rsidP="006522E3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Award Amount</w:t>
            </w:r>
          </w:p>
          <w:p w14:paraId="0DC7DACD" w14:textId="76B4ECA2" w:rsidR="00AA43F2" w:rsidRPr="00866520" w:rsidRDefault="00AA43F2" w:rsidP="006522E3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Year 0 (Foundation Year)</w:t>
            </w:r>
          </w:p>
        </w:tc>
        <w:tc>
          <w:tcPr>
            <w:tcW w:w="3255" w:type="dxa"/>
            <w:shd w:val="clear" w:color="auto" w:fill="F1B434" w:themeFill="accent2"/>
          </w:tcPr>
          <w:p w14:paraId="06817462" w14:textId="77777777" w:rsidR="006522E3" w:rsidRDefault="00AA43F2" w:rsidP="00652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Award amount</w:t>
            </w:r>
          </w:p>
          <w:p w14:paraId="47219196" w14:textId="1829612B" w:rsidR="00AA43F2" w:rsidRPr="00866520" w:rsidRDefault="00AA43F2" w:rsidP="00652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866520">
              <w:rPr>
                <w:b w:val="0"/>
                <w:color w:val="auto"/>
                <w:sz w:val="28"/>
                <w:szCs w:val="28"/>
              </w:rPr>
              <w:t>Year 1 and subsequent years</w:t>
            </w:r>
          </w:p>
        </w:tc>
      </w:tr>
      <w:tr w:rsidR="00AA43F2" w:rsidRPr="00602226" w14:paraId="4BBA838E" w14:textId="77777777" w:rsidTr="00BB3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4C0B7B6" w14:textId="77777777" w:rsidR="00AA43F2" w:rsidRPr="00185A8E" w:rsidRDefault="00AA43F2" w:rsidP="00CB6C4A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185A8E">
              <w:rPr>
                <w:rFonts w:cs="Arial"/>
                <w:b w:val="0"/>
                <w:color w:val="auto"/>
                <w:sz w:val="28"/>
                <w:szCs w:val="28"/>
              </w:rPr>
              <w:t>£0-£25,000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705477E3" w14:textId="542789E5" w:rsidR="00AA43F2" w:rsidRPr="00185A8E" w:rsidRDefault="00AA43F2" w:rsidP="003729A9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185A8E">
              <w:rPr>
                <w:rFonts w:cs="Arial"/>
                <w:b w:val="0"/>
                <w:color w:val="auto"/>
                <w:sz w:val="28"/>
                <w:szCs w:val="28"/>
              </w:rPr>
              <w:t>£3,000</w:t>
            </w:r>
          </w:p>
        </w:tc>
        <w:tc>
          <w:tcPr>
            <w:tcW w:w="3255" w:type="dxa"/>
          </w:tcPr>
          <w:p w14:paraId="73883733" w14:textId="77777777" w:rsidR="00AA43F2" w:rsidRPr="00185A8E" w:rsidRDefault="00AA43F2" w:rsidP="003729A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185A8E">
              <w:rPr>
                <w:rFonts w:cs="Arial"/>
                <w:b w:val="0"/>
                <w:color w:val="auto"/>
                <w:sz w:val="28"/>
                <w:szCs w:val="28"/>
              </w:rPr>
              <w:t>£2,500</w:t>
            </w:r>
          </w:p>
        </w:tc>
      </w:tr>
      <w:tr w:rsidR="00AA43F2" w:rsidRPr="00602226" w14:paraId="2DE4F0E7" w14:textId="77777777" w:rsidTr="00BB3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D55CB4E" w14:textId="77777777" w:rsidR="00AA43F2" w:rsidRPr="00185A8E" w:rsidRDefault="00AA43F2" w:rsidP="00CB6C4A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185A8E">
              <w:rPr>
                <w:rFonts w:cs="Arial"/>
                <w:b w:val="0"/>
                <w:color w:val="auto"/>
                <w:sz w:val="28"/>
                <w:szCs w:val="28"/>
              </w:rPr>
              <w:t>£25,001-£30,000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6F655EAD" w14:textId="77777777" w:rsidR="00AA43F2" w:rsidRPr="00185A8E" w:rsidRDefault="00AA43F2" w:rsidP="003729A9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185A8E">
              <w:rPr>
                <w:rFonts w:cs="Arial"/>
                <w:b w:val="0"/>
                <w:color w:val="auto"/>
                <w:sz w:val="28"/>
                <w:szCs w:val="28"/>
              </w:rPr>
              <w:t>£1,500</w:t>
            </w:r>
          </w:p>
        </w:tc>
        <w:tc>
          <w:tcPr>
            <w:tcW w:w="3255" w:type="dxa"/>
          </w:tcPr>
          <w:p w14:paraId="1EEE0FE8" w14:textId="77777777" w:rsidR="00AA43F2" w:rsidRPr="00185A8E" w:rsidRDefault="00AA43F2" w:rsidP="003729A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185A8E">
              <w:rPr>
                <w:rFonts w:cs="Arial"/>
                <w:b w:val="0"/>
                <w:color w:val="auto"/>
                <w:sz w:val="28"/>
                <w:szCs w:val="28"/>
              </w:rPr>
              <w:t>£1,500</w:t>
            </w:r>
          </w:p>
        </w:tc>
      </w:tr>
      <w:tr w:rsidR="00AA43F2" w:rsidRPr="00602226" w14:paraId="3B710157" w14:textId="77777777" w:rsidTr="00BB3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2FA9B8B" w14:textId="77777777" w:rsidR="00AA43F2" w:rsidRPr="00185A8E" w:rsidRDefault="00AA43F2" w:rsidP="00CB6C4A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185A8E">
              <w:rPr>
                <w:rFonts w:cs="Arial"/>
                <w:b w:val="0"/>
                <w:color w:val="auto"/>
                <w:sz w:val="28"/>
                <w:szCs w:val="28"/>
              </w:rPr>
              <w:t>£30,001-£36,000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232E043B" w14:textId="77777777" w:rsidR="00AA43F2" w:rsidRPr="00185A8E" w:rsidRDefault="00AA43F2" w:rsidP="003729A9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185A8E">
              <w:rPr>
                <w:rFonts w:cs="Arial"/>
                <w:b w:val="0"/>
                <w:color w:val="auto"/>
                <w:sz w:val="28"/>
                <w:szCs w:val="28"/>
              </w:rPr>
              <w:t>£1,000</w:t>
            </w:r>
          </w:p>
        </w:tc>
        <w:tc>
          <w:tcPr>
            <w:tcW w:w="3255" w:type="dxa"/>
          </w:tcPr>
          <w:p w14:paraId="37651204" w14:textId="77777777" w:rsidR="00AA43F2" w:rsidRPr="00185A8E" w:rsidRDefault="00AA43F2" w:rsidP="003729A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185A8E">
              <w:rPr>
                <w:rFonts w:cs="Arial"/>
                <w:b w:val="0"/>
                <w:color w:val="auto"/>
                <w:sz w:val="28"/>
                <w:szCs w:val="28"/>
              </w:rPr>
              <w:t>£1,000</w:t>
            </w:r>
          </w:p>
        </w:tc>
      </w:tr>
      <w:tr w:rsidR="00AA43F2" w:rsidRPr="00602226" w14:paraId="5A4C93B9" w14:textId="77777777" w:rsidTr="00BB3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94D30EE" w14:textId="77777777" w:rsidR="00AA43F2" w:rsidRPr="00185A8E" w:rsidRDefault="00AA43F2" w:rsidP="00CB6C4A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185A8E">
              <w:rPr>
                <w:rFonts w:cs="Arial"/>
                <w:b w:val="0"/>
                <w:color w:val="auto"/>
                <w:sz w:val="28"/>
                <w:szCs w:val="28"/>
              </w:rPr>
              <w:t>£36,001-£42,875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215B21DC" w14:textId="77777777" w:rsidR="00AA43F2" w:rsidRPr="00185A8E" w:rsidRDefault="00AA43F2" w:rsidP="003729A9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185A8E">
              <w:rPr>
                <w:rFonts w:cs="Arial"/>
                <w:b w:val="0"/>
                <w:color w:val="auto"/>
                <w:sz w:val="28"/>
                <w:szCs w:val="28"/>
              </w:rPr>
              <w:t>£500</w:t>
            </w:r>
          </w:p>
        </w:tc>
        <w:tc>
          <w:tcPr>
            <w:tcW w:w="3255" w:type="dxa"/>
          </w:tcPr>
          <w:p w14:paraId="402EB117" w14:textId="77777777" w:rsidR="00AA43F2" w:rsidRPr="00185A8E" w:rsidRDefault="00AA43F2" w:rsidP="003729A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185A8E">
              <w:rPr>
                <w:rFonts w:cs="Arial"/>
                <w:b w:val="0"/>
                <w:color w:val="auto"/>
                <w:sz w:val="28"/>
                <w:szCs w:val="28"/>
              </w:rPr>
              <w:t>£500</w:t>
            </w:r>
          </w:p>
        </w:tc>
      </w:tr>
    </w:tbl>
    <w:p w14:paraId="4426A72B" w14:textId="11E74686" w:rsidR="0071057D" w:rsidRPr="00602226" w:rsidRDefault="00363497" w:rsidP="0071057D">
      <w:pPr>
        <w:rPr>
          <w:sz w:val="28"/>
          <w:szCs w:val="28"/>
        </w:rPr>
      </w:pPr>
      <w:r w:rsidRPr="00602226">
        <w:rPr>
          <w:rFonts w:cs="Arial"/>
          <w:sz w:val="28"/>
          <w:szCs w:val="28"/>
        </w:rPr>
        <w:br/>
      </w:r>
      <w:r w:rsidR="00AA43F2" w:rsidRPr="00602226">
        <w:rPr>
          <w:rFonts w:cs="Arial"/>
          <w:sz w:val="28"/>
          <w:szCs w:val="28"/>
        </w:rPr>
        <w:t xml:space="preserve">We also offer </w:t>
      </w:r>
      <w:r w:rsidR="00AA43F2" w:rsidRPr="005171B2">
        <w:rPr>
          <w:rFonts w:cs="Arial"/>
          <w:bCs/>
          <w:sz w:val="28"/>
          <w:szCs w:val="28"/>
        </w:rPr>
        <w:t>means-tested scholarships</w:t>
      </w:r>
      <w:r w:rsidR="00881F5C" w:rsidRPr="00602226">
        <w:rPr>
          <w:rFonts w:cs="Arial"/>
          <w:sz w:val="28"/>
          <w:szCs w:val="28"/>
        </w:rPr>
        <w:t xml:space="preserve"> for groups who are either less likely to go onto higher education or more likely to have lower outcomes. </w:t>
      </w:r>
      <w:r w:rsidR="00AA43F2" w:rsidRPr="00602226">
        <w:rPr>
          <w:rFonts w:cs="Arial"/>
          <w:sz w:val="28"/>
          <w:szCs w:val="28"/>
        </w:rPr>
        <w:t xml:space="preserve"> </w:t>
      </w:r>
      <w:r w:rsidR="00881F5C" w:rsidRPr="00602226">
        <w:rPr>
          <w:rFonts w:cs="Arial"/>
          <w:sz w:val="28"/>
          <w:szCs w:val="28"/>
        </w:rPr>
        <w:t xml:space="preserve">These are worth £3k per year and </w:t>
      </w:r>
      <w:r w:rsidR="00597407" w:rsidRPr="00602226">
        <w:rPr>
          <w:rFonts w:cs="Arial"/>
          <w:sz w:val="28"/>
          <w:szCs w:val="28"/>
        </w:rPr>
        <w:t>f</w:t>
      </w:r>
      <w:r w:rsidR="003729A9" w:rsidRPr="00602226">
        <w:rPr>
          <w:rFonts w:cs="Arial"/>
          <w:sz w:val="28"/>
          <w:szCs w:val="28"/>
        </w:rPr>
        <w:t xml:space="preserve">ull details, including selection and eligibility criteria </w:t>
      </w:r>
      <w:r w:rsidR="00D813F7">
        <w:rPr>
          <w:rFonts w:cs="Arial"/>
          <w:sz w:val="28"/>
          <w:szCs w:val="28"/>
        </w:rPr>
        <w:t xml:space="preserve">can be found on the </w:t>
      </w:r>
      <w:hyperlink r:id="rId14" w:history="1">
        <w:r w:rsidR="00D813F7" w:rsidRPr="00D813F7">
          <w:rPr>
            <w:rStyle w:val="Hyperlink"/>
            <w:rFonts w:cs="Arial"/>
            <w:sz w:val="28"/>
            <w:szCs w:val="28"/>
          </w:rPr>
          <w:t>scholarships based on personal circumstances</w:t>
        </w:r>
        <w:r w:rsidR="0082596F" w:rsidRPr="00D813F7">
          <w:rPr>
            <w:rStyle w:val="Hyperlink"/>
            <w:rFonts w:cs="Arial"/>
            <w:sz w:val="28"/>
            <w:szCs w:val="28"/>
          </w:rPr>
          <w:t xml:space="preserve"> page</w:t>
        </w:r>
      </w:hyperlink>
      <w:r w:rsidRPr="00602226">
        <w:rPr>
          <w:rFonts w:cs="Arial"/>
          <w:sz w:val="28"/>
          <w:szCs w:val="28"/>
        </w:rPr>
        <w:t>.</w:t>
      </w:r>
      <w:r w:rsidR="003729A9" w:rsidRPr="00602226">
        <w:rPr>
          <w:rFonts w:cs="Arial"/>
          <w:sz w:val="28"/>
          <w:szCs w:val="28"/>
        </w:rPr>
        <w:t xml:space="preserve"> </w:t>
      </w:r>
    </w:p>
    <w:p w14:paraId="1FE9EB37" w14:textId="11F36DEA" w:rsidR="00BD353D" w:rsidRPr="00866520" w:rsidRDefault="00BD353D" w:rsidP="0062762E">
      <w:pPr>
        <w:pStyle w:val="Heading2"/>
        <w:rPr>
          <w:b w:val="0"/>
          <w:bCs/>
          <w:color w:val="auto"/>
          <w:sz w:val="32"/>
          <w:szCs w:val="32"/>
        </w:rPr>
      </w:pPr>
      <w:r w:rsidRPr="00866520">
        <w:rPr>
          <w:b w:val="0"/>
          <w:bCs/>
          <w:color w:val="auto"/>
          <w:sz w:val="32"/>
          <w:szCs w:val="32"/>
        </w:rPr>
        <w:t>Information for students </w:t>
      </w:r>
    </w:p>
    <w:p w14:paraId="4CF4A151" w14:textId="386F6045" w:rsidR="0071057D" w:rsidRPr="002C3FB4" w:rsidRDefault="0071057D" w:rsidP="002C3FB4">
      <w:pPr>
        <w:pStyle w:val="BodyText"/>
        <w:rPr>
          <w:b/>
          <w:sz w:val="28"/>
          <w:szCs w:val="28"/>
        </w:rPr>
      </w:pPr>
      <w:r w:rsidRPr="002C3FB4">
        <w:rPr>
          <w:sz w:val="28"/>
          <w:szCs w:val="28"/>
        </w:rPr>
        <w:t xml:space="preserve">We </w:t>
      </w:r>
      <w:r w:rsidR="00363497" w:rsidRPr="002C3FB4">
        <w:rPr>
          <w:sz w:val="28"/>
          <w:szCs w:val="28"/>
        </w:rPr>
        <w:t>want</w:t>
      </w:r>
      <w:r w:rsidRPr="002C3FB4">
        <w:rPr>
          <w:sz w:val="28"/>
          <w:szCs w:val="28"/>
        </w:rPr>
        <w:t xml:space="preserve"> our information </w:t>
      </w:r>
      <w:r w:rsidR="00363497" w:rsidRPr="002C3FB4">
        <w:rPr>
          <w:sz w:val="28"/>
          <w:szCs w:val="28"/>
        </w:rPr>
        <w:t xml:space="preserve">to be </w:t>
      </w:r>
      <w:r w:rsidRPr="002C3FB4">
        <w:rPr>
          <w:sz w:val="28"/>
          <w:szCs w:val="28"/>
        </w:rPr>
        <w:t>as accessible as possible</w:t>
      </w:r>
      <w:r w:rsidR="00363497" w:rsidRPr="002C3FB4">
        <w:rPr>
          <w:sz w:val="28"/>
          <w:szCs w:val="28"/>
        </w:rPr>
        <w:t>,</w:t>
      </w:r>
      <w:r w:rsidRPr="002C3FB4">
        <w:rPr>
          <w:sz w:val="28"/>
          <w:szCs w:val="28"/>
        </w:rPr>
        <w:t xml:space="preserve"> </w:t>
      </w:r>
      <w:r w:rsidR="0027428A" w:rsidRPr="002C3FB4">
        <w:rPr>
          <w:sz w:val="28"/>
          <w:szCs w:val="28"/>
        </w:rPr>
        <w:t>see</w:t>
      </w:r>
      <w:r w:rsidRPr="002C3FB4">
        <w:rPr>
          <w:sz w:val="28"/>
          <w:szCs w:val="28"/>
        </w:rPr>
        <w:t xml:space="preserve"> below:</w:t>
      </w:r>
    </w:p>
    <w:p w14:paraId="23CD02F9" w14:textId="0BCA7757" w:rsidR="00AE534B" w:rsidRPr="0067016D" w:rsidRDefault="00AE534B" w:rsidP="002C3FB4">
      <w:pPr>
        <w:pStyle w:val="Heading3"/>
        <w:rPr>
          <w:b w:val="0"/>
          <w:color w:val="auto"/>
          <w:sz w:val="28"/>
          <w:szCs w:val="28"/>
        </w:rPr>
      </w:pPr>
      <w:r w:rsidRPr="0067016D">
        <w:rPr>
          <w:b w:val="0"/>
          <w:color w:val="auto"/>
          <w:sz w:val="28"/>
          <w:szCs w:val="28"/>
        </w:rPr>
        <w:t>Information provided to students</w:t>
      </w:r>
    </w:p>
    <w:p w14:paraId="74D9D454" w14:textId="77777777" w:rsidR="00AE534B" w:rsidRPr="00602226" w:rsidRDefault="00AE534B" w:rsidP="00AE534B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8"/>
          <w:szCs w:val="28"/>
        </w:rPr>
      </w:pPr>
      <w:r w:rsidRPr="00602226">
        <w:rPr>
          <w:rFonts w:ascii="Arial" w:hAnsi="Arial" w:cs="Arial"/>
          <w:color w:val="000000"/>
          <w:sz w:val="28"/>
          <w:szCs w:val="28"/>
        </w:rPr>
        <w:t xml:space="preserve">The fees a prospective student will be charged for the duration of their course (this information will be made available prior to students committing to the course). </w:t>
      </w:r>
    </w:p>
    <w:p w14:paraId="313FCCA8" w14:textId="77777777" w:rsidR="00AE534B" w:rsidRPr="00602226" w:rsidRDefault="00AE534B" w:rsidP="00AE534B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8"/>
          <w:szCs w:val="28"/>
        </w:rPr>
      </w:pPr>
      <w:r w:rsidRPr="00602226">
        <w:rPr>
          <w:rFonts w:ascii="Arial" w:hAnsi="Arial" w:cs="Arial"/>
          <w:color w:val="000000"/>
          <w:sz w:val="28"/>
          <w:szCs w:val="28"/>
        </w:rPr>
        <w:t>Government financial support arrangements.</w:t>
      </w:r>
    </w:p>
    <w:p w14:paraId="71510A5C" w14:textId="36B4E6FE" w:rsidR="00AE534B" w:rsidRPr="00602226" w:rsidRDefault="00AE534B" w:rsidP="00AE534B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602226">
        <w:rPr>
          <w:rFonts w:ascii="Arial" w:hAnsi="Arial" w:cs="Arial"/>
          <w:color w:val="000000"/>
          <w:sz w:val="28"/>
          <w:szCs w:val="28"/>
        </w:rPr>
        <w:t>Details for prospective, new and continuing students (including those with care experience</w:t>
      </w:r>
      <w:r w:rsidRPr="00602226">
        <w:rPr>
          <w:sz w:val="28"/>
          <w:szCs w:val="28"/>
        </w:rPr>
        <w:t>) of financial and other support available</w:t>
      </w:r>
    </w:p>
    <w:p w14:paraId="550E600F" w14:textId="2C4FC5DB" w:rsidR="00AE534B" w:rsidRPr="0067016D" w:rsidRDefault="00AE534B" w:rsidP="002C3FB4">
      <w:pPr>
        <w:pStyle w:val="Heading3"/>
        <w:rPr>
          <w:b w:val="0"/>
          <w:color w:val="auto"/>
          <w:sz w:val="28"/>
          <w:szCs w:val="28"/>
        </w:rPr>
      </w:pPr>
      <w:r w:rsidRPr="0067016D">
        <w:rPr>
          <w:b w:val="0"/>
          <w:color w:val="auto"/>
          <w:sz w:val="28"/>
          <w:szCs w:val="28"/>
        </w:rPr>
        <w:t>How this information will be shared</w:t>
      </w:r>
    </w:p>
    <w:p w14:paraId="6CF942D3" w14:textId="2F973EB3" w:rsidR="002C3FB4" w:rsidRPr="002C3FB4" w:rsidRDefault="00AE534B" w:rsidP="0082596F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2596F">
        <w:rPr>
          <w:sz w:val="28"/>
          <w:szCs w:val="28"/>
        </w:rPr>
        <w:t xml:space="preserve">Our </w:t>
      </w:r>
      <w:hyperlink r:id="rId15" w:history="1">
        <w:r w:rsidRPr="002C3FB4">
          <w:rPr>
            <w:rStyle w:val="Hyperlink"/>
            <w:sz w:val="28"/>
            <w:szCs w:val="28"/>
          </w:rPr>
          <w:t>finance webpages</w:t>
        </w:r>
      </w:hyperlink>
      <w:r w:rsidR="002C3FB4">
        <w:rPr>
          <w:sz w:val="28"/>
          <w:szCs w:val="28"/>
        </w:rPr>
        <w:t xml:space="preserve"> </w:t>
      </w:r>
    </w:p>
    <w:p w14:paraId="418E3F3D" w14:textId="66A86690" w:rsidR="002C3FB4" w:rsidRPr="002C3FB4" w:rsidRDefault="002C3FB4" w:rsidP="002C3FB4">
      <w:pPr>
        <w:pStyle w:val="ListParagraph"/>
        <w:numPr>
          <w:ilvl w:val="0"/>
          <w:numId w:val="22"/>
        </w:numPr>
        <w:rPr>
          <w:sz w:val="28"/>
          <w:szCs w:val="28"/>
        </w:rPr>
      </w:pPr>
      <w:hyperlink r:id="rId16" w:history="1">
        <w:r w:rsidR="00AE534B" w:rsidRPr="002C3FB4">
          <w:rPr>
            <w:rStyle w:val="Hyperlink"/>
            <w:sz w:val="28"/>
            <w:szCs w:val="28"/>
          </w:rPr>
          <w:t>Propel</w:t>
        </w:r>
      </w:hyperlink>
      <w:r w:rsidR="0082596F">
        <w:rPr>
          <w:sz w:val="28"/>
          <w:szCs w:val="28"/>
        </w:rPr>
        <w:t xml:space="preserve"> </w:t>
      </w:r>
    </w:p>
    <w:p w14:paraId="67495EB7" w14:textId="77777777" w:rsidR="00AE534B" w:rsidRPr="00602226" w:rsidRDefault="00AE534B" w:rsidP="00AE534B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602226">
        <w:rPr>
          <w:sz w:val="28"/>
          <w:szCs w:val="28"/>
        </w:rPr>
        <w:t>Dedicated parent and advisor information via the web and through conferences and sessions at Open Days.</w:t>
      </w:r>
    </w:p>
    <w:p w14:paraId="04C3917D" w14:textId="77777777" w:rsidR="00AE534B" w:rsidRPr="00602226" w:rsidRDefault="00AE534B" w:rsidP="00AE534B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602226">
        <w:rPr>
          <w:sz w:val="28"/>
          <w:szCs w:val="28"/>
        </w:rPr>
        <w:t xml:space="preserve">Integrated messages within our outreach </w:t>
      </w:r>
    </w:p>
    <w:p w14:paraId="5DB11750" w14:textId="77777777" w:rsidR="00AE534B" w:rsidRPr="00602226" w:rsidRDefault="00AE534B" w:rsidP="00AE534B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602226">
        <w:rPr>
          <w:sz w:val="28"/>
          <w:szCs w:val="28"/>
        </w:rPr>
        <w:t>Appropriate hard-copy publications (e.g. the University Prospectus).</w:t>
      </w:r>
    </w:p>
    <w:p w14:paraId="0B662613" w14:textId="00B72E8B" w:rsidR="00AE534B" w:rsidRPr="00602226" w:rsidRDefault="00AE534B" w:rsidP="00AE534B">
      <w:pPr>
        <w:rPr>
          <w:b/>
          <w:bCs/>
          <w:sz w:val="28"/>
          <w:szCs w:val="28"/>
        </w:rPr>
      </w:pPr>
      <w:r w:rsidRPr="00602226">
        <w:rPr>
          <w:sz w:val="28"/>
          <w:szCs w:val="28"/>
        </w:rPr>
        <w:t>Individual financial literacy and budgeting support for students on our talent-spotting schemes.</w:t>
      </w:r>
      <w:r w:rsidR="00F3040B" w:rsidRPr="00602226">
        <w:rPr>
          <w:sz w:val="28"/>
          <w:szCs w:val="28"/>
        </w:rPr>
        <w:t xml:space="preserve">  </w:t>
      </w:r>
    </w:p>
    <w:p w14:paraId="27A4DC44" w14:textId="50DE82C3" w:rsidR="00BD353D" w:rsidRPr="00866520" w:rsidRDefault="00BD353D" w:rsidP="00E63502">
      <w:pPr>
        <w:pStyle w:val="Heading2"/>
        <w:rPr>
          <w:b w:val="0"/>
          <w:bCs/>
          <w:color w:val="auto"/>
          <w:sz w:val="32"/>
          <w:szCs w:val="32"/>
        </w:rPr>
      </w:pPr>
      <w:r w:rsidRPr="00866520">
        <w:rPr>
          <w:b w:val="0"/>
          <w:bCs/>
          <w:color w:val="auto"/>
          <w:sz w:val="32"/>
          <w:szCs w:val="32"/>
        </w:rPr>
        <w:t>What we are aiming to achieve</w:t>
      </w:r>
    </w:p>
    <w:p w14:paraId="7A4AF2D1" w14:textId="647024AB" w:rsidR="00625A04" w:rsidRPr="006522E3" w:rsidRDefault="001927AF" w:rsidP="006522E3">
      <w:pPr>
        <w:pStyle w:val="ListParagraph"/>
        <w:numPr>
          <w:ilvl w:val="0"/>
          <w:numId w:val="25"/>
        </w:numPr>
        <w:ind w:left="360"/>
        <w:rPr>
          <w:bCs/>
          <w:sz w:val="28"/>
          <w:szCs w:val="28"/>
        </w:rPr>
      </w:pPr>
      <w:r w:rsidRPr="00866520">
        <w:rPr>
          <w:bCs/>
          <w:sz w:val="28"/>
          <w:szCs w:val="28"/>
        </w:rPr>
        <w:lastRenderedPageBreak/>
        <w:t>Support attainment at school and access to higher education</w:t>
      </w:r>
      <w:r w:rsidR="00B37535" w:rsidRPr="00866520">
        <w:rPr>
          <w:bCs/>
          <w:sz w:val="28"/>
          <w:szCs w:val="28"/>
        </w:rPr>
        <w:t xml:space="preserve"> - </w:t>
      </w:r>
      <w:r w:rsidR="004B77DE" w:rsidRPr="00866520">
        <w:rPr>
          <w:bCs/>
          <w:sz w:val="28"/>
          <w:szCs w:val="28"/>
        </w:rPr>
        <w:t xml:space="preserve">We </w:t>
      </w:r>
      <w:r w:rsidR="004C7CC2" w:rsidRPr="00866520">
        <w:rPr>
          <w:bCs/>
          <w:sz w:val="28"/>
          <w:szCs w:val="28"/>
        </w:rPr>
        <w:t>will</w:t>
      </w:r>
      <w:r w:rsidR="004B77DE" w:rsidRPr="00866520">
        <w:rPr>
          <w:bCs/>
          <w:sz w:val="28"/>
          <w:szCs w:val="28"/>
        </w:rPr>
        <w:t xml:space="preserve"> work with schools to raise attainment and encourage progression to Leeds or </w:t>
      </w:r>
      <w:r w:rsidR="004C7CC2" w:rsidRPr="00866520">
        <w:rPr>
          <w:bCs/>
          <w:sz w:val="28"/>
          <w:szCs w:val="28"/>
        </w:rPr>
        <w:t>similar destinations. We will</w:t>
      </w:r>
      <w:r w:rsidR="004B77DE" w:rsidRPr="00866520">
        <w:rPr>
          <w:bCs/>
          <w:sz w:val="28"/>
          <w:szCs w:val="28"/>
        </w:rPr>
        <w:t xml:space="preserve"> open a specialist maths school in Leeds.</w:t>
      </w:r>
      <w:r w:rsidR="006522E3" w:rsidRPr="006522E3">
        <w:rPr>
          <w:bCs/>
          <w:sz w:val="28"/>
          <w:szCs w:val="28"/>
        </w:rPr>
        <w:t xml:space="preserve"> </w:t>
      </w:r>
    </w:p>
    <w:p w14:paraId="2BB1F841" w14:textId="48608ED0" w:rsidR="004B77DE" w:rsidRPr="00866520" w:rsidRDefault="004B77DE" w:rsidP="00597407">
      <w:pPr>
        <w:pStyle w:val="ListParagraph"/>
        <w:numPr>
          <w:ilvl w:val="0"/>
          <w:numId w:val="25"/>
        </w:numPr>
        <w:ind w:left="360"/>
        <w:rPr>
          <w:bCs/>
          <w:sz w:val="28"/>
          <w:szCs w:val="28"/>
        </w:rPr>
      </w:pPr>
      <w:r w:rsidRPr="00866520">
        <w:rPr>
          <w:bCs/>
          <w:sz w:val="28"/>
          <w:szCs w:val="28"/>
        </w:rPr>
        <w:t>Diverse provisio</w:t>
      </w:r>
      <w:r w:rsidR="00B37535" w:rsidRPr="00866520">
        <w:rPr>
          <w:bCs/>
          <w:sz w:val="28"/>
          <w:szCs w:val="28"/>
        </w:rPr>
        <w:t xml:space="preserve">n </w:t>
      </w:r>
      <w:r w:rsidR="004C7CC2" w:rsidRPr="00866520">
        <w:rPr>
          <w:bCs/>
          <w:sz w:val="28"/>
          <w:szCs w:val="28"/>
        </w:rPr>
        <w:t>–</w:t>
      </w:r>
      <w:r w:rsidR="00B37535" w:rsidRPr="00866520">
        <w:rPr>
          <w:bCs/>
          <w:sz w:val="28"/>
          <w:szCs w:val="28"/>
        </w:rPr>
        <w:t xml:space="preserve"> </w:t>
      </w:r>
      <w:r w:rsidR="004C7CC2" w:rsidRPr="00866520">
        <w:rPr>
          <w:bCs/>
          <w:sz w:val="28"/>
          <w:szCs w:val="28"/>
        </w:rPr>
        <w:t xml:space="preserve">Supporting students </w:t>
      </w:r>
      <w:r w:rsidR="001927AF" w:rsidRPr="00866520">
        <w:rPr>
          <w:bCs/>
          <w:sz w:val="28"/>
          <w:szCs w:val="28"/>
        </w:rPr>
        <w:t xml:space="preserve">into HE </w:t>
      </w:r>
      <w:r w:rsidR="004C7CC2" w:rsidRPr="00866520">
        <w:rPr>
          <w:bCs/>
          <w:sz w:val="28"/>
          <w:szCs w:val="28"/>
        </w:rPr>
        <w:t xml:space="preserve">through a range of pathways. We </w:t>
      </w:r>
      <w:r w:rsidRPr="00866520">
        <w:rPr>
          <w:bCs/>
          <w:sz w:val="28"/>
          <w:szCs w:val="28"/>
        </w:rPr>
        <w:t xml:space="preserve">offer a </w:t>
      </w:r>
      <w:r w:rsidR="00DB775F" w:rsidRPr="00866520">
        <w:rPr>
          <w:bCs/>
          <w:sz w:val="28"/>
          <w:szCs w:val="28"/>
        </w:rPr>
        <w:t>range of degree apprenticeships,</w:t>
      </w:r>
      <w:r w:rsidR="001927AF" w:rsidRPr="00866520">
        <w:rPr>
          <w:bCs/>
          <w:sz w:val="28"/>
          <w:szCs w:val="28"/>
        </w:rPr>
        <w:t xml:space="preserve"> foundation year and foundation degrees as well as </w:t>
      </w:r>
      <w:r w:rsidR="00DB775F" w:rsidRPr="00866520">
        <w:rPr>
          <w:bCs/>
          <w:sz w:val="28"/>
          <w:szCs w:val="28"/>
        </w:rPr>
        <w:t xml:space="preserve">extended degrees with foundation years </w:t>
      </w:r>
      <w:r w:rsidR="001927AF" w:rsidRPr="00866520">
        <w:rPr>
          <w:bCs/>
          <w:sz w:val="28"/>
          <w:szCs w:val="28"/>
        </w:rPr>
        <w:t>(</w:t>
      </w:r>
      <w:r w:rsidRPr="00866520">
        <w:rPr>
          <w:bCs/>
          <w:sz w:val="28"/>
          <w:szCs w:val="28"/>
        </w:rPr>
        <w:t>including our new Gateway to Medicine</w:t>
      </w:r>
      <w:r w:rsidR="001927AF" w:rsidRPr="00866520">
        <w:rPr>
          <w:bCs/>
          <w:sz w:val="28"/>
          <w:szCs w:val="28"/>
        </w:rPr>
        <w:t>)</w:t>
      </w:r>
      <w:r w:rsidR="00DB775F" w:rsidRPr="00866520">
        <w:rPr>
          <w:bCs/>
          <w:sz w:val="28"/>
          <w:szCs w:val="28"/>
        </w:rPr>
        <w:t>.</w:t>
      </w:r>
    </w:p>
    <w:p w14:paraId="1118F49F" w14:textId="77777777" w:rsidR="00625A04" w:rsidRPr="00866520" w:rsidRDefault="00625A04" w:rsidP="00625A04">
      <w:pPr>
        <w:pStyle w:val="ListParagraph"/>
        <w:rPr>
          <w:bCs/>
          <w:sz w:val="28"/>
          <w:szCs w:val="28"/>
        </w:rPr>
      </w:pPr>
    </w:p>
    <w:p w14:paraId="3B5398C8" w14:textId="77777777" w:rsidR="00625A04" w:rsidRPr="00866520" w:rsidRDefault="00625A04" w:rsidP="00625A04">
      <w:pPr>
        <w:pStyle w:val="ListParagraph"/>
        <w:ind w:left="360"/>
        <w:rPr>
          <w:bCs/>
          <w:sz w:val="28"/>
          <w:szCs w:val="28"/>
        </w:rPr>
      </w:pPr>
    </w:p>
    <w:p w14:paraId="6A472745" w14:textId="4616ABFA" w:rsidR="00BE3D9C" w:rsidRPr="00602226" w:rsidRDefault="001927AF" w:rsidP="00BE3D9C">
      <w:pPr>
        <w:pStyle w:val="ListParagraph"/>
        <w:numPr>
          <w:ilvl w:val="0"/>
          <w:numId w:val="25"/>
        </w:numPr>
        <w:ind w:left="360"/>
        <w:rPr>
          <w:sz w:val="28"/>
          <w:szCs w:val="28"/>
        </w:rPr>
      </w:pPr>
      <w:r w:rsidRPr="00866520">
        <w:rPr>
          <w:bCs/>
          <w:sz w:val="28"/>
          <w:szCs w:val="28"/>
        </w:rPr>
        <w:t>Students from areas with low progression on to higher education</w:t>
      </w:r>
      <w:r w:rsidR="00B37535" w:rsidRPr="00866520">
        <w:rPr>
          <w:bCs/>
          <w:sz w:val="28"/>
          <w:szCs w:val="28"/>
        </w:rPr>
        <w:t xml:space="preserve"> </w:t>
      </w:r>
      <w:r w:rsidR="00BE3D9C" w:rsidRPr="00866520">
        <w:rPr>
          <w:bCs/>
          <w:sz w:val="28"/>
          <w:szCs w:val="28"/>
        </w:rPr>
        <w:t xml:space="preserve">– </w:t>
      </w:r>
      <w:r w:rsidR="00AE534B" w:rsidRPr="00602226">
        <w:rPr>
          <w:sz w:val="28"/>
          <w:szCs w:val="28"/>
        </w:rPr>
        <w:t>By 2024/25 w</w:t>
      </w:r>
      <w:r w:rsidR="00BE3D9C" w:rsidRPr="00602226">
        <w:rPr>
          <w:sz w:val="28"/>
          <w:szCs w:val="28"/>
        </w:rPr>
        <w:t>e will</w:t>
      </w:r>
      <w:r w:rsidR="00B37535" w:rsidRPr="00602226">
        <w:rPr>
          <w:sz w:val="28"/>
          <w:szCs w:val="28"/>
        </w:rPr>
        <w:t xml:space="preserve">: </w:t>
      </w:r>
    </w:p>
    <w:p w14:paraId="7BB90EA6" w14:textId="49C36A27" w:rsidR="00BE3D9C" w:rsidRPr="00602226" w:rsidRDefault="00BE3D9C" w:rsidP="00BE3D9C">
      <w:pPr>
        <w:pStyle w:val="ListParagraph"/>
        <w:numPr>
          <w:ilvl w:val="1"/>
          <w:numId w:val="25"/>
        </w:numPr>
        <w:ind w:left="774"/>
        <w:rPr>
          <w:sz w:val="28"/>
          <w:szCs w:val="28"/>
        </w:rPr>
      </w:pPr>
      <w:r w:rsidRPr="00602226">
        <w:rPr>
          <w:sz w:val="28"/>
          <w:szCs w:val="28"/>
        </w:rPr>
        <w:t xml:space="preserve">Close the gap in access for students from areas with low progression on to higher education </w:t>
      </w:r>
      <w:r w:rsidR="007629D1" w:rsidRPr="00602226">
        <w:rPr>
          <w:sz w:val="28"/>
          <w:szCs w:val="28"/>
        </w:rPr>
        <w:t>vs</w:t>
      </w:r>
      <w:r w:rsidRPr="00602226">
        <w:rPr>
          <w:sz w:val="28"/>
          <w:szCs w:val="28"/>
        </w:rPr>
        <w:t xml:space="preserve"> students from high progression </w:t>
      </w:r>
      <w:r w:rsidR="00AE534B" w:rsidRPr="00602226">
        <w:rPr>
          <w:sz w:val="28"/>
          <w:szCs w:val="28"/>
        </w:rPr>
        <w:t xml:space="preserve">areas </w:t>
      </w:r>
      <w:r w:rsidRPr="00602226">
        <w:rPr>
          <w:sz w:val="28"/>
          <w:szCs w:val="28"/>
        </w:rPr>
        <w:t>from a</w:t>
      </w:r>
      <w:r w:rsidR="00546800" w:rsidRPr="00602226">
        <w:rPr>
          <w:sz w:val="28"/>
          <w:szCs w:val="28"/>
        </w:rPr>
        <w:t xml:space="preserve"> ratio of 5.5:</w:t>
      </w:r>
      <w:r w:rsidRPr="00602226">
        <w:rPr>
          <w:sz w:val="28"/>
          <w:szCs w:val="28"/>
        </w:rPr>
        <w:t>1 to 3.5</w:t>
      </w:r>
      <w:r w:rsidR="00546800" w:rsidRPr="00602226">
        <w:rPr>
          <w:sz w:val="28"/>
          <w:szCs w:val="28"/>
        </w:rPr>
        <w:t>:</w:t>
      </w:r>
      <w:r w:rsidRPr="00602226">
        <w:rPr>
          <w:sz w:val="28"/>
          <w:szCs w:val="28"/>
        </w:rPr>
        <w:t xml:space="preserve">1 </w:t>
      </w:r>
    </w:p>
    <w:p w14:paraId="348B3A7B" w14:textId="77777777" w:rsidR="0082596F" w:rsidRDefault="00546800" w:rsidP="0082596F">
      <w:pPr>
        <w:pStyle w:val="ListParagraph"/>
        <w:numPr>
          <w:ilvl w:val="1"/>
          <w:numId w:val="25"/>
        </w:numPr>
        <w:ind w:left="774"/>
        <w:rPr>
          <w:sz w:val="28"/>
          <w:szCs w:val="28"/>
        </w:rPr>
      </w:pPr>
      <w:r w:rsidRPr="00602226">
        <w:rPr>
          <w:sz w:val="28"/>
          <w:szCs w:val="28"/>
        </w:rPr>
        <w:t xml:space="preserve">Close the gap in the continuation rate between these groups of students from 3.8% in 2016/17 to 1.5% </w:t>
      </w:r>
    </w:p>
    <w:p w14:paraId="6A232A1D" w14:textId="0D2F97FA" w:rsidR="002F01B1" w:rsidRPr="0082596F" w:rsidRDefault="00BE3D9C" w:rsidP="0082596F">
      <w:pPr>
        <w:pStyle w:val="ListParagraph"/>
        <w:numPr>
          <w:ilvl w:val="1"/>
          <w:numId w:val="25"/>
        </w:numPr>
        <w:ind w:left="774"/>
        <w:rPr>
          <w:sz w:val="28"/>
          <w:szCs w:val="28"/>
        </w:rPr>
      </w:pPr>
      <w:r w:rsidRPr="0082596F">
        <w:rPr>
          <w:sz w:val="28"/>
          <w:szCs w:val="28"/>
        </w:rPr>
        <w:t xml:space="preserve">Increase the percentage of students who progress to research intensive universities through the </w:t>
      </w:r>
      <w:hyperlink r:id="rId17" w:history="1">
        <w:r w:rsidRPr="002C3FB4">
          <w:rPr>
            <w:rStyle w:val="Hyperlink"/>
            <w:sz w:val="28"/>
            <w:szCs w:val="28"/>
          </w:rPr>
          <w:t>Realising Opportunities scheme</w:t>
        </w:r>
      </w:hyperlink>
      <w:r w:rsidR="0082596F" w:rsidRPr="00012249">
        <w:rPr>
          <w:sz w:val="28"/>
          <w:szCs w:val="28"/>
        </w:rPr>
        <w:t xml:space="preserve"> </w:t>
      </w:r>
      <w:r w:rsidR="0082596F" w:rsidRPr="0082596F">
        <w:rPr>
          <w:sz w:val="28"/>
          <w:szCs w:val="28"/>
        </w:rPr>
        <w:t>f</w:t>
      </w:r>
      <w:r w:rsidR="00546800" w:rsidRPr="0082596F">
        <w:rPr>
          <w:sz w:val="28"/>
          <w:szCs w:val="28"/>
        </w:rPr>
        <w:t xml:space="preserve">rom 42% in 2015/16 to 54% </w:t>
      </w:r>
    </w:p>
    <w:p w14:paraId="73D9FD46" w14:textId="77777777" w:rsidR="00625A04" w:rsidRPr="00602226" w:rsidRDefault="00625A04" w:rsidP="00625A04">
      <w:pPr>
        <w:pStyle w:val="ListParagraph"/>
        <w:ind w:left="774"/>
        <w:rPr>
          <w:sz w:val="28"/>
          <w:szCs w:val="28"/>
        </w:rPr>
      </w:pPr>
    </w:p>
    <w:p w14:paraId="0993ABE4" w14:textId="3934024B" w:rsidR="00AC4267" w:rsidRPr="00625A04" w:rsidRDefault="00AC4267" w:rsidP="00597407">
      <w:pPr>
        <w:pStyle w:val="ListParagraph"/>
        <w:numPr>
          <w:ilvl w:val="0"/>
          <w:numId w:val="25"/>
        </w:numPr>
        <w:ind w:left="360"/>
        <w:rPr>
          <w:b/>
          <w:sz w:val="28"/>
          <w:szCs w:val="28"/>
        </w:rPr>
      </w:pPr>
      <w:r w:rsidRPr="00866520">
        <w:rPr>
          <w:bCs/>
          <w:sz w:val="28"/>
          <w:szCs w:val="28"/>
        </w:rPr>
        <w:t>Students from ethnic minorities</w:t>
      </w:r>
      <w:r w:rsidR="00B37535" w:rsidRPr="00602226">
        <w:rPr>
          <w:b/>
          <w:sz w:val="28"/>
          <w:szCs w:val="28"/>
        </w:rPr>
        <w:t xml:space="preserve"> - </w:t>
      </w:r>
      <w:r w:rsidR="00BE3D9C" w:rsidRPr="00602226">
        <w:rPr>
          <w:sz w:val="28"/>
          <w:szCs w:val="28"/>
        </w:rPr>
        <w:t>By 2024/25</w:t>
      </w:r>
      <w:r w:rsidR="002F01B1" w:rsidRPr="00602226">
        <w:rPr>
          <w:sz w:val="28"/>
          <w:szCs w:val="28"/>
        </w:rPr>
        <w:t xml:space="preserve"> we will </w:t>
      </w:r>
      <w:r w:rsidR="00546800" w:rsidRPr="00602226">
        <w:rPr>
          <w:sz w:val="28"/>
          <w:szCs w:val="28"/>
        </w:rPr>
        <w:t>close the gap between white and e</w:t>
      </w:r>
      <w:r w:rsidR="002F01B1" w:rsidRPr="00602226">
        <w:rPr>
          <w:sz w:val="28"/>
          <w:szCs w:val="28"/>
        </w:rPr>
        <w:t xml:space="preserve">thnic minority students gaining a good degree outcome of a 2:1 or above </w:t>
      </w:r>
      <w:r w:rsidR="00546800" w:rsidRPr="00602226">
        <w:rPr>
          <w:sz w:val="28"/>
          <w:szCs w:val="28"/>
        </w:rPr>
        <w:t>from 12.7% to 6.5%</w:t>
      </w:r>
      <w:r w:rsidRPr="00602226">
        <w:rPr>
          <w:sz w:val="28"/>
          <w:szCs w:val="28"/>
          <w:highlight w:val="yellow"/>
        </w:rPr>
        <w:t xml:space="preserve"> </w:t>
      </w:r>
    </w:p>
    <w:p w14:paraId="1B48B750" w14:textId="77777777" w:rsidR="00625A04" w:rsidRPr="00602226" w:rsidRDefault="00625A04" w:rsidP="00625A04">
      <w:pPr>
        <w:pStyle w:val="ListParagraph"/>
        <w:ind w:left="360"/>
        <w:rPr>
          <w:b/>
          <w:sz w:val="28"/>
          <w:szCs w:val="28"/>
        </w:rPr>
      </w:pPr>
    </w:p>
    <w:p w14:paraId="0BB2CB83" w14:textId="0E15A254" w:rsidR="00B37535" w:rsidRPr="00602226" w:rsidRDefault="00AC4267" w:rsidP="00CB6C4A">
      <w:pPr>
        <w:pStyle w:val="ListParagraph"/>
        <w:numPr>
          <w:ilvl w:val="0"/>
          <w:numId w:val="25"/>
        </w:numPr>
        <w:ind w:left="360"/>
        <w:rPr>
          <w:sz w:val="28"/>
          <w:szCs w:val="28"/>
        </w:rPr>
      </w:pPr>
      <w:r w:rsidRPr="00866520">
        <w:rPr>
          <w:bCs/>
          <w:sz w:val="28"/>
          <w:szCs w:val="28"/>
        </w:rPr>
        <w:t>Mature students</w:t>
      </w:r>
      <w:r w:rsidR="00B37535" w:rsidRPr="00602226">
        <w:rPr>
          <w:b/>
          <w:sz w:val="28"/>
          <w:szCs w:val="28"/>
        </w:rPr>
        <w:t xml:space="preserve"> </w:t>
      </w:r>
      <w:r w:rsidR="00B37535" w:rsidRPr="00602226">
        <w:rPr>
          <w:sz w:val="28"/>
          <w:szCs w:val="28"/>
        </w:rPr>
        <w:t xml:space="preserve">By 2024/25 we will: </w:t>
      </w:r>
    </w:p>
    <w:p w14:paraId="308152AE" w14:textId="2BBEC5FF" w:rsidR="00597407" w:rsidRPr="00602226" w:rsidRDefault="00546800" w:rsidP="00CB6C4A">
      <w:pPr>
        <w:pStyle w:val="ListParagraph"/>
        <w:numPr>
          <w:ilvl w:val="1"/>
          <w:numId w:val="25"/>
        </w:numPr>
        <w:ind w:left="774"/>
        <w:rPr>
          <w:sz w:val="28"/>
          <w:szCs w:val="28"/>
        </w:rPr>
      </w:pPr>
      <w:r w:rsidRPr="00602226">
        <w:rPr>
          <w:sz w:val="28"/>
          <w:szCs w:val="28"/>
        </w:rPr>
        <w:t xml:space="preserve">Close the gap in continuation rate between mature (aged over 21) vs young </w:t>
      </w:r>
      <w:r w:rsidR="00B37535" w:rsidRPr="00602226">
        <w:rPr>
          <w:sz w:val="28"/>
          <w:szCs w:val="28"/>
        </w:rPr>
        <w:t xml:space="preserve">students </w:t>
      </w:r>
      <w:r w:rsidRPr="00602226">
        <w:rPr>
          <w:sz w:val="28"/>
          <w:szCs w:val="28"/>
        </w:rPr>
        <w:t>from 7.8% to 6.5%</w:t>
      </w:r>
      <w:r w:rsidR="00B37535" w:rsidRPr="00602226">
        <w:rPr>
          <w:sz w:val="28"/>
          <w:szCs w:val="28"/>
          <w:highlight w:val="yellow"/>
        </w:rPr>
        <w:t xml:space="preserve"> </w:t>
      </w:r>
    </w:p>
    <w:p w14:paraId="349C235E" w14:textId="2FF355E7" w:rsidR="00B37535" w:rsidRPr="00602226" w:rsidRDefault="00546800" w:rsidP="00CB6C4A">
      <w:pPr>
        <w:pStyle w:val="ListParagraph"/>
        <w:numPr>
          <w:ilvl w:val="1"/>
          <w:numId w:val="25"/>
        </w:numPr>
        <w:ind w:left="774"/>
        <w:rPr>
          <w:sz w:val="28"/>
          <w:szCs w:val="28"/>
        </w:rPr>
      </w:pPr>
      <w:r w:rsidRPr="00602226">
        <w:rPr>
          <w:sz w:val="28"/>
          <w:szCs w:val="28"/>
        </w:rPr>
        <w:t xml:space="preserve">Close the gap between </w:t>
      </w:r>
      <w:r w:rsidR="00B37535" w:rsidRPr="00602226">
        <w:rPr>
          <w:sz w:val="28"/>
          <w:szCs w:val="28"/>
        </w:rPr>
        <w:t>the percentage of mature students</w:t>
      </w:r>
      <w:r w:rsidRPr="00602226">
        <w:rPr>
          <w:sz w:val="28"/>
          <w:szCs w:val="28"/>
        </w:rPr>
        <w:t xml:space="preserve"> vs young students</w:t>
      </w:r>
      <w:r w:rsidR="00B37535" w:rsidRPr="00602226">
        <w:rPr>
          <w:sz w:val="28"/>
          <w:szCs w:val="28"/>
        </w:rPr>
        <w:t xml:space="preserve"> gaining a good degree outcome of a 2:1 </w:t>
      </w:r>
      <w:r w:rsidR="007629D1" w:rsidRPr="00602226">
        <w:rPr>
          <w:sz w:val="28"/>
          <w:szCs w:val="28"/>
        </w:rPr>
        <w:t>or above from 12.1% to 9.4%</w:t>
      </w:r>
      <w:r w:rsidR="00B37535" w:rsidRPr="00602226">
        <w:rPr>
          <w:sz w:val="28"/>
          <w:szCs w:val="28"/>
        </w:rPr>
        <w:t xml:space="preserve"> </w:t>
      </w:r>
    </w:p>
    <w:p w14:paraId="4EDC3662" w14:textId="6D9AC9BF" w:rsidR="00030F9B" w:rsidRDefault="004C7CC2" w:rsidP="00602226">
      <w:pPr>
        <w:rPr>
          <w:sz w:val="28"/>
          <w:szCs w:val="28"/>
        </w:rPr>
      </w:pPr>
      <w:r w:rsidRPr="00602226">
        <w:rPr>
          <w:sz w:val="28"/>
          <w:szCs w:val="28"/>
        </w:rPr>
        <w:t>Mature students</w:t>
      </w:r>
      <w:r w:rsidR="002F01B1" w:rsidRPr="00602226">
        <w:rPr>
          <w:sz w:val="28"/>
          <w:szCs w:val="28"/>
        </w:rPr>
        <w:t xml:space="preserve"> remain a priority group for recruitment and our </w:t>
      </w:r>
      <w:hyperlink r:id="rId18" w:history="1">
        <w:r w:rsidRPr="002C3FB4">
          <w:rPr>
            <w:rStyle w:val="Hyperlink"/>
            <w:sz w:val="28"/>
            <w:szCs w:val="28"/>
          </w:rPr>
          <w:t>Lifelong Learning Centre</w:t>
        </w:r>
      </w:hyperlink>
      <w:r w:rsidRPr="00602226">
        <w:rPr>
          <w:sz w:val="28"/>
          <w:szCs w:val="28"/>
        </w:rPr>
        <w:t xml:space="preserve"> - a</w:t>
      </w:r>
      <w:r w:rsidR="002F01B1" w:rsidRPr="00602226">
        <w:rPr>
          <w:sz w:val="28"/>
          <w:szCs w:val="28"/>
        </w:rPr>
        <w:t xml:space="preserve"> specialist service supporting mature and part-time learners </w:t>
      </w:r>
      <w:r w:rsidRPr="00602226">
        <w:rPr>
          <w:sz w:val="28"/>
          <w:szCs w:val="28"/>
        </w:rPr>
        <w:t>at Leeds -</w:t>
      </w:r>
      <w:r w:rsidR="002F01B1" w:rsidRPr="00602226">
        <w:rPr>
          <w:sz w:val="28"/>
          <w:szCs w:val="28"/>
        </w:rPr>
        <w:t xml:space="preserve"> continues to </w:t>
      </w:r>
      <w:r w:rsidRPr="00602226">
        <w:rPr>
          <w:sz w:val="28"/>
          <w:szCs w:val="28"/>
        </w:rPr>
        <w:t>lead this work</w:t>
      </w:r>
      <w:r w:rsidR="002F01B1" w:rsidRPr="00602226">
        <w:rPr>
          <w:sz w:val="28"/>
          <w:szCs w:val="28"/>
        </w:rPr>
        <w:t>.</w:t>
      </w:r>
    </w:p>
    <w:p w14:paraId="3827231A" w14:textId="74892D07" w:rsidR="00BD353D" w:rsidRPr="00866520" w:rsidRDefault="00BD353D" w:rsidP="00E63502">
      <w:pPr>
        <w:pStyle w:val="Heading2"/>
        <w:rPr>
          <w:b w:val="0"/>
          <w:bCs/>
          <w:color w:val="auto"/>
          <w:sz w:val="32"/>
          <w:szCs w:val="32"/>
        </w:rPr>
      </w:pPr>
      <w:r w:rsidRPr="00866520">
        <w:rPr>
          <w:b w:val="0"/>
          <w:bCs/>
          <w:color w:val="auto"/>
          <w:sz w:val="32"/>
          <w:szCs w:val="32"/>
        </w:rPr>
        <w:t>What we are doing to achieve our aims </w:t>
      </w:r>
    </w:p>
    <w:p w14:paraId="64F0AF87" w14:textId="347EEFB0" w:rsidR="00BD353D" w:rsidRPr="00D40B62" w:rsidRDefault="00772B79" w:rsidP="00BD353D">
      <w:pPr>
        <w:rPr>
          <w:sz w:val="28"/>
          <w:szCs w:val="28"/>
        </w:rPr>
      </w:pPr>
      <w:r w:rsidRPr="00D40B62">
        <w:rPr>
          <w:sz w:val="28"/>
          <w:szCs w:val="28"/>
        </w:rPr>
        <w:t xml:space="preserve">We have identified </w:t>
      </w:r>
      <w:r w:rsidR="0027428A" w:rsidRPr="00D40B62">
        <w:rPr>
          <w:sz w:val="28"/>
          <w:szCs w:val="28"/>
        </w:rPr>
        <w:t>six</w:t>
      </w:r>
      <w:r w:rsidRPr="00D40B62">
        <w:rPr>
          <w:sz w:val="28"/>
          <w:szCs w:val="28"/>
        </w:rPr>
        <w:t xml:space="preserve"> </w:t>
      </w:r>
      <w:r w:rsidR="00B37535" w:rsidRPr="00D40B62">
        <w:rPr>
          <w:sz w:val="28"/>
          <w:szCs w:val="28"/>
        </w:rPr>
        <w:t xml:space="preserve">programmes of activity </w:t>
      </w:r>
      <w:r w:rsidR="00030F9B" w:rsidRPr="00D40B62">
        <w:rPr>
          <w:sz w:val="28"/>
          <w:szCs w:val="28"/>
        </w:rPr>
        <w:t>ensure we deliver of our aims</w:t>
      </w:r>
      <w:r w:rsidR="00B37535" w:rsidRPr="00D40B62">
        <w:rPr>
          <w:sz w:val="28"/>
          <w:szCs w:val="28"/>
        </w:rPr>
        <w:t xml:space="preserve">: </w:t>
      </w:r>
    </w:p>
    <w:p w14:paraId="4C932373" w14:textId="14320011" w:rsidR="00B37535" w:rsidRPr="00866520" w:rsidRDefault="00DA4190" w:rsidP="00B37535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D40B62">
        <w:rPr>
          <w:sz w:val="28"/>
          <w:szCs w:val="28"/>
        </w:rPr>
        <w:t xml:space="preserve">Continue to deliver, evaluate and invest in work that </w:t>
      </w:r>
      <w:r w:rsidRPr="00866520">
        <w:rPr>
          <w:sz w:val="28"/>
          <w:szCs w:val="28"/>
        </w:rPr>
        <w:t xml:space="preserve">helps raise pupil attainment in schools we work with as well as develop a specialist maths school in Leeds. </w:t>
      </w:r>
    </w:p>
    <w:p w14:paraId="385FBC52" w14:textId="7C8AF2BB" w:rsidR="00DA4190" w:rsidRPr="00866520" w:rsidRDefault="00DA4190" w:rsidP="00DA4190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866520">
        <w:rPr>
          <w:sz w:val="28"/>
          <w:szCs w:val="28"/>
        </w:rPr>
        <w:lastRenderedPageBreak/>
        <w:t>Provide diverse routes into Leeds including: contextual admissions schemes, foundation degrees, degree apprenticeships and other initiatives</w:t>
      </w:r>
      <w:r w:rsidR="000C1DB6" w:rsidRPr="00866520">
        <w:rPr>
          <w:sz w:val="28"/>
          <w:szCs w:val="28"/>
        </w:rPr>
        <w:t xml:space="preserve"> to ensure not only that we can recruit diverse groups of students but also that they are well prepared to succeed.</w:t>
      </w:r>
    </w:p>
    <w:p w14:paraId="25667BC1" w14:textId="1538DB2D" w:rsidR="009D71CA" w:rsidRPr="00866520" w:rsidRDefault="00EC46AD" w:rsidP="00932A89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866520">
        <w:rPr>
          <w:sz w:val="28"/>
          <w:szCs w:val="28"/>
        </w:rPr>
        <w:t>Ensure</w:t>
      </w:r>
      <w:r w:rsidR="00DA4190" w:rsidRPr="00866520">
        <w:rPr>
          <w:sz w:val="28"/>
          <w:szCs w:val="28"/>
        </w:rPr>
        <w:t xml:space="preserve"> </w:t>
      </w:r>
      <w:r w:rsidR="00597407" w:rsidRPr="00866520">
        <w:rPr>
          <w:sz w:val="28"/>
          <w:szCs w:val="28"/>
        </w:rPr>
        <w:t xml:space="preserve">inclusive </w:t>
      </w:r>
      <w:r w:rsidR="00DA4190" w:rsidRPr="00866520">
        <w:rPr>
          <w:sz w:val="28"/>
          <w:szCs w:val="28"/>
        </w:rPr>
        <w:t xml:space="preserve">teaching </w:t>
      </w:r>
      <w:r w:rsidR="009D71CA" w:rsidRPr="00866520">
        <w:rPr>
          <w:sz w:val="28"/>
          <w:szCs w:val="28"/>
        </w:rPr>
        <w:t>practice reflective of the diverse student body at Leeds</w:t>
      </w:r>
      <w:r w:rsidR="0027428A" w:rsidRPr="00866520">
        <w:rPr>
          <w:sz w:val="28"/>
          <w:szCs w:val="28"/>
        </w:rPr>
        <w:t>.</w:t>
      </w:r>
      <w:r w:rsidR="009D71CA" w:rsidRPr="00866520">
        <w:rPr>
          <w:sz w:val="28"/>
          <w:szCs w:val="28"/>
        </w:rPr>
        <w:t xml:space="preserve"> </w:t>
      </w:r>
    </w:p>
    <w:p w14:paraId="65B3571D" w14:textId="280775BC" w:rsidR="00932A89" w:rsidRPr="00866520" w:rsidRDefault="009D71CA" w:rsidP="00932A89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866520">
        <w:rPr>
          <w:sz w:val="28"/>
          <w:szCs w:val="28"/>
        </w:rPr>
        <w:t xml:space="preserve">Inclusive </w:t>
      </w:r>
      <w:r w:rsidR="00DA4190" w:rsidRPr="00866520">
        <w:rPr>
          <w:sz w:val="28"/>
          <w:szCs w:val="28"/>
        </w:rPr>
        <w:t>asses</w:t>
      </w:r>
      <w:r w:rsidR="00EC46AD" w:rsidRPr="00866520">
        <w:rPr>
          <w:sz w:val="28"/>
          <w:szCs w:val="28"/>
        </w:rPr>
        <w:t xml:space="preserve">sment practice, </w:t>
      </w:r>
      <w:r w:rsidR="000C1DB6" w:rsidRPr="00866520">
        <w:rPr>
          <w:sz w:val="28"/>
          <w:szCs w:val="28"/>
        </w:rPr>
        <w:t>recognising and welcoming difference and ensuring that all our students feel equally valued. </w:t>
      </w:r>
    </w:p>
    <w:p w14:paraId="533442D0" w14:textId="1CE1B1C0" w:rsidR="00932A89" w:rsidRPr="00866520" w:rsidRDefault="00DE422A" w:rsidP="00012249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866520">
        <w:rPr>
          <w:sz w:val="28"/>
          <w:szCs w:val="28"/>
        </w:rPr>
        <w:t>F</w:t>
      </w:r>
      <w:r w:rsidR="00F504E7" w:rsidRPr="00866520">
        <w:rPr>
          <w:sz w:val="28"/>
          <w:szCs w:val="28"/>
        </w:rPr>
        <w:t>oster</w:t>
      </w:r>
      <w:r w:rsidR="00932A89" w:rsidRPr="00866520">
        <w:rPr>
          <w:sz w:val="28"/>
          <w:szCs w:val="28"/>
        </w:rPr>
        <w:t xml:space="preserve"> a </w:t>
      </w:r>
      <w:r w:rsidR="00DA4190" w:rsidRPr="00866520">
        <w:rPr>
          <w:sz w:val="28"/>
          <w:szCs w:val="28"/>
        </w:rPr>
        <w:t>sense of belonging</w:t>
      </w:r>
      <w:r w:rsidR="00030F9B" w:rsidRPr="00866520">
        <w:rPr>
          <w:sz w:val="28"/>
          <w:szCs w:val="28"/>
        </w:rPr>
        <w:t xml:space="preserve"> among</w:t>
      </w:r>
      <w:r w:rsidR="00932A89" w:rsidRPr="00866520">
        <w:rPr>
          <w:sz w:val="28"/>
          <w:szCs w:val="28"/>
        </w:rPr>
        <w:t xml:space="preserve"> our students to </w:t>
      </w:r>
      <w:r w:rsidR="00F504E7" w:rsidRPr="00866520">
        <w:rPr>
          <w:sz w:val="28"/>
          <w:szCs w:val="28"/>
        </w:rPr>
        <w:t>make their</w:t>
      </w:r>
      <w:r w:rsidR="00F504E7" w:rsidRPr="00D40B62">
        <w:rPr>
          <w:sz w:val="28"/>
          <w:szCs w:val="28"/>
        </w:rPr>
        <w:t xml:space="preserve"> success more likely </w:t>
      </w:r>
      <w:r w:rsidR="00932A89" w:rsidRPr="00D40B62">
        <w:rPr>
          <w:sz w:val="28"/>
          <w:szCs w:val="28"/>
        </w:rPr>
        <w:t xml:space="preserve">– particularly </w:t>
      </w:r>
      <w:r w:rsidRPr="00D40B62">
        <w:rPr>
          <w:sz w:val="28"/>
          <w:szCs w:val="28"/>
        </w:rPr>
        <w:t xml:space="preserve">with </w:t>
      </w:r>
      <w:r w:rsidR="00932A89" w:rsidRPr="00D40B62">
        <w:rPr>
          <w:sz w:val="28"/>
          <w:szCs w:val="28"/>
        </w:rPr>
        <w:t xml:space="preserve">groups typically less likely to go on to University.  </w:t>
      </w:r>
      <w:r w:rsidR="00EC46AD" w:rsidRPr="00D40B62">
        <w:rPr>
          <w:sz w:val="28"/>
          <w:szCs w:val="28"/>
        </w:rPr>
        <w:t xml:space="preserve">Belonging is a key aspect of our </w:t>
      </w:r>
      <w:hyperlink r:id="rId19" w:history="1">
        <w:r w:rsidR="00EC46AD" w:rsidRPr="002C3FB4">
          <w:rPr>
            <w:rStyle w:val="Hyperlink"/>
            <w:sz w:val="28"/>
            <w:szCs w:val="28"/>
          </w:rPr>
          <w:t>University Access and Student Success Strategy</w:t>
        </w:r>
      </w:hyperlink>
      <w:r w:rsidR="00DA4190" w:rsidRPr="00D40B62">
        <w:rPr>
          <w:sz w:val="28"/>
          <w:szCs w:val="28"/>
        </w:rPr>
        <w:t xml:space="preserve"> </w:t>
      </w:r>
      <w:r w:rsidR="00F504E7" w:rsidRPr="00D40B62">
        <w:rPr>
          <w:sz w:val="28"/>
          <w:szCs w:val="28"/>
        </w:rPr>
        <w:t xml:space="preserve">and in the work of our committees </w:t>
      </w:r>
      <w:r w:rsidR="00DA4190" w:rsidRPr="00D40B62">
        <w:rPr>
          <w:sz w:val="28"/>
          <w:szCs w:val="28"/>
        </w:rPr>
        <w:t>to ensure that</w:t>
      </w:r>
      <w:r w:rsidR="00EC46AD" w:rsidRPr="00D40B62">
        <w:rPr>
          <w:sz w:val="28"/>
          <w:szCs w:val="28"/>
        </w:rPr>
        <w:t xml:space="preserve"> fostering a </w:t>
      </w:r>
      <w:r w:rsidR="00DA4190" w:rsidRPr="00D40B62">
        <w:rPr>
          <w:sz w:val="28"/>
          <w:szCs w:val="28"/>
        </w:rPr>
        <w:t xml:space="preserve">sense of belonging </w:t>
      </w:r>
      <w:r w:rsidR="00EC46AD" w:rsidRPr="00D40B62">
        <w:rPr>
          <w:sz w:val="28"/>
          <w:szCs w:val="28"/>
        </w:rPr>
        <w:t xml:space="preserve">is standard university practice at all levels.  </w:t>
      </w:r>
    </w:p>
    <w:p w14:paraId="56623B2B" w14:textId="6B170E48" w:rsidR="00772B79" w:rsidRPr="00D40B62" w:rsidRDefault="00772B79" w:rsidP="00772B79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866520">
        <w:rPr>
          <w:sz w:val="28"/>
          <w:szCs w:val="28"/>
        </w:rPr>
        <w:t>Offer financial support,</w:t>
      </w:r>
      <w:r w:rsidRPr="00D40B62">
        <w:rPr>
          <w:sz w:val="28"/>
          <w:szCs w:val="28"/>
        </w:rPr>
        <w:t xml:space="preserve"> including bursaries, and hardship funding. </w:t>
      </w:r>
    </w:p>
    <w:p w14:paraId="31BFD455" w14:textId="79E4D005" w:rsidR="00DA4190" w:rsidRPr="00D40B62" w:rsidRDefault="00DA4190" w:rsidP="00DA4190">
      <w:pPr>
        <w:pStyle w:val="Default"/>
        <w:rPr>
          <w:sz w:val="28"/>
          <w:szCs w:val="28"/>
        </w:rPr>
      </w:pPr>
    </w:p>
    <w:p w14:paraId="54458064" w14:textId="285EA434" w:rsidR="00BD353D" w:rsidRPr="00866520" w:rsidRDefault="00BD353D" w:rsidP="00E63502">
      <w:pPr>
        <w:pStyle w:val="Heading2"/>
        <w:rPr>
          <w:b w:val="0"/>
          <w:bCs/>
          <w:color w:val="auto"/>
          <w:sz w:val="32"/>
          <w:szCs w:val="32"/>
        </w:rPr>
      </w:pPr>
      <w:r w:rsidRPr="00866520">
        <w:rPr>
          <w:b w:val="0"/>
          <w:bCs/>
          <w:color w:val="auto"/>
          <w:sz w:val="32"/>
          <w:szCs w:val="32"/>
        </w:rPr>
        <w:t>How students can get involved</w:t>
      </w:r>
    </w:p>
    <w:p w14:paraId="6558ED37" w14:textId="215A324E" w:rsidR="00F504E7" w:rsidRPr="00D40B62" w:rsidRDefault="00F504E7" w:rsidP="00183222">
      <w:pPr>
        <w:spacing w:beforeAutospacing="1" w:afterAutospacing="1"/>
        <w:rPr>
          <w:color w:val="000000"/>
          <w:sz w:val="28"/>
          <w:szCs w:val="28"/>
        </w:rPr>
      </w:pPr>
      <w:r w:rsidRPr="00D40B62">
        <w:rPr>
          <w:color w:val="000000" w:themeColor="text1"/>
          <w:sz w:val="28"/>
          <w:szCs w:val="28"/>
        </w:rPr>
        <w:t xml:space="preserve">Leeds University Union (LUU) works with the University to ensure students have contributed to </w:t>
      </w:r>
      <w:r w:rsidRPr="00D40B62">
        <w:rPr>
          <w:color w:val="000000"/>
          <w:sz w:val="28"/>
          <w:szCs w:val="28"/>
        </w:rPr>
        <w:t xml:space="preserve">the development of our plan. Through LUU students also work in partnership with us to monitor and evaluate its outcomes. </w:t>
      </w:r>
      <w:r w:rsidR="00D9501C" w:rsidRPr="00083A8D">
        <w:rPr>
          <w:rFonts w:cs="Arial"/>
          <w:sz w:val="28"/>
          <w:szCs w:val="28"/>
        </w:rPr>
        <w:t>See our</w:t>
      </w:r>
      <w:r w:rsidR="002C3FB4">
        <w:rPr>
          <w:rFonts w:cs="Arial"/>
          <w:sz w:val="28"/>
          <w:szCs w:val="28"/>
        </w:rPr>
        <w:t xml:space="preserve"> full </w:t>
      </w:r>
      <w:hyperlink r:id="rId20" w:history="1">
        <w:r w:rsidR="002C3FB4" w:rsidRPr="002C3FB4">
          <w:rPr>
            <w:rStyle w:val="Hyperlink"/>
            <w:rFonts w:cs="Arial"/>
            <w:sz w:val="28"/>
            <w:szCs w:val="28"/>
          </w:rPr>
          <w:t>Access and Participation</w:t>
        </w:r>
        <w:r w:rsidR="002C3FB4">
          <w:rPr>
            <w:rStyle w:val="Hyperlink"/>
            <w:rFonts w:cs="Arial"/>
            <w:sz w:val="28"/>
            <w:szCs w:val="28"/>
          </w:rPr>
          <w:t xml:space="preserve"> P</w:t>
        </w:r>
        <w:r w:rsidR="00D9501C" w:rsidRPr="002C3FB4">
          <w:rPr>
            <w:rStyle w:val="Hyperlink"/>
            <w:rFonts w:cs="Arial"/>
            <w:sz w:val="28"/>
            <w:szCs w:val="28"/>
          </w:rPr>
          <w:t>lan</w:t>
        </w:r>
      </w:hyperlink>
      <w:r w:rsidR="002C3FB4">
        <w:rPr>
          <w:rFonts w:cs="Arial"/>
          <w:sz w:val="28"/>
          <w:szCs w:val="28"/>
        </w:rPr>
        <w:t>.</w:t>
      </w:r>
    </w:p>
    <w:p w14:paraId="6C8B2262" w14:textId="53C8B9EA" w:rsidR="00F504E7" w:rsidRPr="00D40B62" w:rsidRDefault="00F504E7" w:rsidP="00012249">
      <w:pPr>
        <w:pStyle w:val="ListParagraph"/>
        <w:numPr>
          <w:ilvl w:val="0"/>
          <w:numId w:val="23"/>
        </w:numPr>
        <w:tabs>
          <w:tab w:val="left" w:pos="142"/>
        </w:tabs>
        <w:rPr>
          <w:rStyle w:val="Hyperlink"/>
          <w:color w:val="000000" w:themeColor="text1"/>
          <w:sz w:val="28"/>
          <w:szCs w:val="28"/>
          <w:u w:val="none"/>
        </w:rPr>
      </w:pPr>
      <w:r w:rsidRPr="00D40B62">
        <w:rPr>
          <w:color w:val="000000"/>
          <w:sz w:val="28"/>
          <w:szCs w:val="28"/>
        </w:rPr>
        <w:t xml:space="preserve">To be involved in this work students can get in touch with us directly using the contact details below, or you can </w:t>
      </w:r>
      <w:r w:rsidRPr="00012249">
        <w:rPr>
          <w:sz w:val="28"/>
          <w:szCs w:val="28"/>
        </w:rPr>
        <w:t xml:space="preserve">get in touch with their </w:t>
      </w:r>
      <w:hyperlink r:id="rId21" w:history="1">
        <w:r w:rsidRPr="002C3FB4">
          <w:rPr>
            <w:rStyle w:val="Hyperlink"/>
            <w:sz w:val="28"/>
            <w:szCs w:val="28"/>
          </w:rPr>
          <w:t>representatives from LUU</w:t>
        </w:r>
      </w:hyperlink>
      <w:r w:rsidR="002C3FB4">
        <w:rPr>
          <w:sz w:val="28"/>
          <w:szCs w:val="28"/>
        </w:rPr>
        <w:t>.</w:t>
      </w:r>
      <w:r w:rsidR="00012249">
        <w:rPr>
          <w:sz w:val="28"/>
          <w:szCs w:val="28"/>
        </w:rPr>
        <w:t xml:space="preserve"> </w:t>
      </w:r>
    </w:p>
    <w:p w14:paraId="0F05C3CF" w14:textId="16091D29" w:rsidR="00BD353D" w:rsidRPr="00866520" w:rsidRDefault="00BD353D" w:rsidP="00E63502">
      <w:pPr>
        <w:pStyle w:val="Heading2"/>
        <w:rPr>
          <w:b w:val="0"/>
          <w:bCs/>
          <w:color w:val="auto"/>
          <w:sz w:val="32"/>
          <w:szCs w:val="32"/>
        </w:rPr>
      </w:pPr>
      <w:r w:rsidRPr="00866520">
        <w:rPr>
          <w:b w:val="0"/>
          <w:bCs/>
          <w:color w:val="auto"/>
          <w:sz w:val="32"/>
          <w:szCs w:val="32"/>
        </w:rPr>
        <w:t>Evaluation – how we will measure what we have achieved</w:t>
      </w:r>
    </w:p>
    <w:p w14:paraId="15D31EB4" w14:textId="59D9E8C5" w:rsidR="002C3FB4" w:rsidRPr="00D40B62" w:rsidRDefault="006330E1" w:rsidP="002C3FB4">
      <w:pPr>
        <w:spacing w:beforeAutospacing="1" w:afterAutospacing="1"/>
        <w:rPr>
          <w:color w:val="000000"/>
          <w:sz w:val="28"/>
          <w:szCs w:val="28"/>
        </w:rPr>
      </w:pPr>
      <w:r w:rsidRPr="002741D3">
        <w:rPr>
          <w:sz w:val="28"/>
          <w:szCs w:val="28"/>
        </w:rPr>
        <w:t>Our work is informed by the best available evidence we have on what</w:t>
      </w:r>
      <w:r w:rsidR="00363497" w:rsidRPr="002741D3">
        <w:rPr>
          <w:sz w:val="28"/>
          <w:szCs w:val="28"/>
        </w:rPr>
        <w:t xml:space="preserve"> is effective for st</w:t>
      </w:r>
      <w:r w:rsidRPr="002741D3">
        <w:rPr>
          <w:sz w:val="28"/>
          <w:szCs w:val="28"/>
        </w:rPr>
        <w:t xml:space="preserve">udents.  This evidence is gathered through </w:t>
      </w:r>
      <w:r w:rsidR="00F504E7" w:rsidRPr="002741D3">
        <w:rPr>
          <w:sz w:val="28"/>
          <w:szCs w:val="28"/>
        </w:rPr>
        <w:t>learning from our peers</w:t>
      </w:r>
      <w:r w:rsidRPr="002741D3">
        <w:rPr>
          <w:sz w:val="28"/>
          <w:szCs w:val="28"/>
        </w:rPr>
        <w:t xml:space="preserve"> and through evaluation of our own activity. </w:t>
      </w:r>
      <w:r w:rsidR="00363497" w:rsidRPr="002741D3">
        <w:rPr>
          <w:sz w:val="28"/>
          <w:szCs w:val="28"/>
        </w:rPr>
        <w:t>W</w:t>
      </w:r>
      <w:r w:rsidR="005A6F6F" w:rsidRPr="002741D3">
        <w:rPr>
          <w:sz w:val="28"/>
          <w:szCs w:val="28"/>
        </w:rPr>
        <w:t xml:space="preserve">e use data and feedback to understand how effectively our work contributes to the overall aim of </w:t>
      </w:r>
      <w:r w:rsidR="0027428A" w:rsidRPr="002741D3">
        <w:rPr>
          <w:sz w:val="28"/>
          <w:szCs w:val="28"/>
        </w:rPr>
        <w:t xml:space="preserve">improving our students’ </w:t>
      </w:r>
      <w:r w:rsidR="005A6F6F" w:rsidRPr="002741D3">
        <w:rPr>
          <w:sz w:val="28"/>
          <w:szCs w:val="28"/>
        </w:rPr>
        <w:t xml:space="preserve">access and success.  </w:t>
      </w:r>
      <w:r w:rsidR="002C3FB4" w:rsidRPr="00083A8D">
        <w:rPr>
          <w:rFonts w:cs="Arial"/>
          <w:sz w:val="28"/>
          <w:szCs w:val="28"/>
        </w:rPr>
        <w:t>See our</w:t>
      </w:r>
      <w:r w:rsidR="002C3FB4">
        <w:rPr>
          <w:rFonts w:cs="Arial"/>
          <w:sz w:val="28"/>
          <w:szCs w:val="28"/>
        </w:rPr>
        <w:t xml:space="preserve"> full </w:t>
      </w:r>
      <w:hyperlink r:id="rId22" w:history="1">
        <w:r w:rsidR="002C3FB4" w:rsidRPr="002C3FB4">
          <w:rPr>
            <w:rStyle w:val="Hyperlink"/>
            <w:rFonts w:cs="Arial"/>
            <w:sz w:val="28"/>
            <w:szCs w:val="28"/>
          </w:rPr>
          <w:t>Access and Participation</w:t>
        </w:r>
        <w:r w:rsidR="002C3FB4">
          <w:rPr>
            <w:rStyle w:val="Hyperlink"/>
            <w:rFonts w:cs="Arial"/>
            <w:sz w:val="28"/>
            <w:szCs w:val="28"/>
          </w:rPr>
          <w:t xml:space="preserve"> P</w:t>
        </w:r>
        <w:r w:rsidR="002C3FB4" w:rsidRPr="002C3FB4">
          <w:rPr>
            <w:rStyle w:val="Hyperlink"/>
            <w:rFonts w:cs="Arial"/>
            <w:sz w:val="28"/>
            <w:szCs w:val="28"/>
          </w:rPr>
          <w:t>lan</w:t>
        </w:r>
      </w:hyperlink>
      <w:r w:rsidR="002C3FB4">
        <w:rPr>
          <w:rFonts w:cs="Arial"/>
          <w:sz w:val="28"/>
          <w:szCs w:val="28"/>
        </w:rPr>
        <w:t>.</w:t>
      </w:r>
    </w:p>
    <w:p w14:paraId="078E5AF0" w14:textId="15EA155A" w:rsidR="006330E1" w:rsidRPr="002741D3" w:rsidRDefault="00F504E7" w:rsidP="002C3FB4">
      <w:pPr>
        <w:pStyle w:val="BodyText"/>
        <w:rPr>
          <w:b/>
          <w:sz w:val="28"/>
          <w:szCs w:val="28"/>
        </w:rPr>
      </w:pPr>
      <w:r w:rsidRPr="002741D3">
        <w:rPr>
          <w:sz w:val="28"/>
          <w:szCs w:val="28"/>
        </w:rPr>
        <w:t xml:space="preserve">Our </w:t>
      </w:r>
      <w:r w:rsidR="005A6F6F" w:rsidRPr="002741D3">
        <w:rPr>
          <w:sz w:val="28"/>
          <w:szCs w:val="28"/>
        </w:rPr>
        <w:t>programme</w:t>
      </w:r>
      <w:r w:rsidRPr="002741D3">
        <w:rPr>
          <w:sz w:val="28"/>
          <w:szCs w:val="28"/>
        </w:rPr>
        <w:t xml:space="preserve"> evaluations assess:</w:t>
      </w:r>
    </w:p>
    <w:p w14:paraId="7235E721" w14:textId="477B745A" w:rsidR="006330E1" w:rsidRPr="002741D3" w:rsidRDefault="006330E1" w:rsidP="002741D3">
      <w:pPr>
        <w:pStyle w:val="BodyText"/>
        <w:numPr>
          <w:ilvl w:val="0"/>
          <w:numId w:val="23"/>
        </w:numPr>
        <w:rPr>
          <w:b/>
          <w:sz w:val="28"/>
          <w:szCs w:val="28"/>
        </w:rPr>
      </w:pPr>
      <w:r w:rsidRPr="002741D3">
        <w:rPr>
          <w:sz w:val="28"/>
          <w:szCs w:val="28"/>
        </w:rPr>
        <w:t xml:space="preserve">How </w:t>
      </w:r>
      <w:r w:rsidR="00486AFF" w:rsidRPr="002741D3">
        <w:rPr>
          <w:sz w:val="28"/>
          <w:szCs w:val="28"/>
        </w:rPr>
        <w:t xml:space="preserve">effectively </w:t>
      </w:r>
      <w:r w:rsidRPr="002741D3">
        <w:rPr>
          <w:sz w:val="28"/>
          <w:szCs w:val="28"/>
        </w:rPr>
        <w:t>our prog</w:t>
      </w:r>
      <w:r w:rsidR="00435B93" w:rsidRPr="002741D3">
        <w:rPr>
          <w:sz w:val="28"/>
          <w:szCs w:val="28"/>
        </w:rPr>
        <w:t>rammes contribute to our aims</w:t>
      </w:r>
    </w:p>
    <w:p w14:paraId="7510F293" w14:textId="45D904E8" w:rsidR="00435B93" w:rsidRPr="002741D3" w:rsidRDefault="00486AFF" w:rsidP="002741D3">
      <w:pPr>
        <w:pStyle w:val="BodyText"/>
        <w:numPr>
          <w:ilvl w:val="0"/>
          <w:numId w:val="23"/>
        </w:numPr>
        <w:rPr>
          <w:b/>
          <w:sz w:val="28"/>
          <w:szCs w:val="28"/>
        </w:rPr>
      </w:pPr>
      <w:r w:rsidRPr="002741D3">
        <w:rPr>
          <w:sz w:val="28"/>
          <w:szCs w:val="28"/>
        </w:rPr>
        <w:t xml:space="preserve">Whether and how a programme of activity has affected target groups’ access, success, academic attainment or progression into work/further study. </w:t>
      </w:r>
    </w:p>
    <w:p w14:paraId="319E0DC7" w14:textId="3016DEF8" w:rsidR="00486AFF" w:rsidRPr="002741D3" w:rsidRDefault="00486AFF" w:rsidP="002741D3">
      <w:pPr>
        <w:pStyle w:val="BodyText"/>
        <w:numPr>
          <w:ilvl w:val="0"/>
          <w:numId w:val="23"/>
        </w:numPr>
        <w:rPr>
          <w:b/>
          <w:sz w:val="28"/>
          <w:szCs w:val="28"/>
        </w:rPr>
      </w:pPr>
      <w:r w:rsidRPr="002741D3">
        <w:rPr>
          <w:sz w:val="28"/>
          <w:szCs w:val="28"/>
        </w:rPr>
        <w:t xml:space="preserve">Whether the programme could be improved. </w:t>
      </w:r>
    </w:p>
    <w:p w14:paraId="1B0ACCA0" w14:textId="77777777" w:rsidR="00A66F0C" w:rsidRPr="00014B6A" w:rsidRDefault="00A66F0C" w:rsidP="00A66F0C">
      <w:pPr>
        <w:jc w:val="both"/>
        <w:rPr>
          <w:sz w:val="28"/>
          <w:szCs w:val="28"/>
        </w:rPr>
      </w:pPr>
      <w:r w:rsidRPr="00014B6A">
        <w:rPr>
          <w:sz w:val="28"/>
          <w:szCs w:val="28"/>
        </w:rPr>
        <w:lastRenderedPageBreak/>
        <w:t xml:space="preserve">A consistent approach to evaluation is embedded across teams directly involved in access and success work with groups that are underrepresented in higher education.  </w:t>
      </w:r>
    </w:p>
    <w:p w14:paraId="2F8ADB5F" w14:textId="722B99F3" w:rsidR="005C2337" w:rsidRPr="00014B6A" w:rsidRDefault="00A66F0C" w:rsidP="008A31D7">
      <w:pPr>
        <w:rPr>
          <w:i/>
          <w:iCs/>
          <w:sz w:val="28"/>
          <w:szCs w:val="28"/>
        </w:rPr>
      </w:pPr>
      <w:r w:rsidRPr="00014B6A">
        <w:rPr>
          <w:sz w:val="28"/>
          <w:szCs w:val="28"/>
        </w:rPr>
        <w:t>Research, monitoring and eva</w:t>
      </w:r>
      <w:r w:rsidR="008A31D7" w:rsidRPr="00014B6A">
        <w:rPr>
          <w:sz w:val="28"/>
          <w:szCs w:val="28"/>
        </w:rPr>
        <w:t>luation is undertaken by a wide</w:t>
      </w:r>
      <w:r w:rsidRPr="00014B6A">
        <w:rPr>
          <w:sz w:val="28"/>
          <w:szCs w:val="28"/>
        </w:rPr>
        <w:t xml:space="preserve"> team of professional and academic colleagues with </w:t>
      </w:r>
      <w:r w:rsidR="008A31D7" w:rsidRPr="00014B6A">
        <w:rPr>
          <w:sz w:val="28"/>
          <w:szCs w:val="28"/>
        </w:rPr>
        <w:t>an</w:t>
      </w:r>
      <w:r w:rsidRPr="00014B6A">
        <w:rPr>
          <w:sz w:val="28"/>
          <w:szCs w:val="28"/>
        </w:rPr>
        <w:t xml:space="preserve"> Evaluation Strategy Implementation Group dedicated to the review of progress on this agenda. </w:t>
      </w:r>
      <w:r w:rsidR="008A31D7" w:rsidRPr="00014B6A">
        <w:rPr>
          <w:sz w:val="28"/>
          <w:szCs w:val="28"/>
        </w:rPr>
        <w:t xml:space="preserve"> We also work with external agencies (including other universities) to assess the effectiveness of our provision. </w:t>
      </w:r>
      <w:r w:rsidR="006E2074" w:rsidRPr="00014B6A">
        <w:rPr>
          <w:sz w:val="28"/>
          <w:szCs w:val="28"/>
        </w:rPr>
        <w:t xml:space="preserve"> </w:t>
      </w:r>
      <w:r w:rsidR="008A31D7" w:rsidRPr="00014B6A">
        <w:rPr>
          <w:sz w:val="28"/>
          <w:szCs w:val="28"/>
        </w:rPr>
        <w:t xml:space="preserve">Evaluation </w:t>
      </w:r>
      <w:r w:rsidR="00F504E7" w:rsidRPr="00014B6A">
        <w:rPr>
          <w:sz w:val="28"/>
          <w:szCs w:val="28"/>
        </w:rPr>
        <w:t xml:space="preserve">is an essential part of </w:t>
      </w:r>
      <w:r w:rsidRPr="00014B6A">
        <w:rPr>
          <w:sz w:val="28"/>
          <w:szCs w:val="28"/>
        </w:rPr>
        <w:t xml:space="preserve">our </w:t>
      </w:r>
      <w:r w:rsidR="008A31D7" w:rsidRPr="00014B6A">
        <w:rPr>
          <w:sz w:val="28"/>
          <w:szCs w:val="28"/>
        </w:rPr>
        <w:t>Plan</w:t>
      </w:r>
      <w:r w:rsidRPr="00014B6A">
        <w:rPr>
          <w:sz w:val="28"/>
          <w:szCs w:val="28"/>
        </w:rPr>
        <w:t xml:space="preserve"> </w:t>
      </w:r>
      <w:r w:rsidR="008A31D7" w:rsidRPr="00014B6A">
        <w:rPr>
          <w:sz w:val="28"/>
          <w:szCs w:val="28"/>
        </w:rPr>
        <w:t>and other</w:t>
      </w:r>
      <w:r w:rsidRPr="00014B6A">
        <w:rPr>
          <w:sz w:val="28"/>
          <w:szCs w:val="28"/>
        </w:rPr>
        <w:t xml:space="preserve"> institutional strategies</w:t>
      </w:r>
      <w:r w:rsidR="008A31D7" w:rsidRPr="00014B6A">
        <w:rPr>
          <w:sz w:val="28"/>
          <w:szCs w:val="28"/>
        </w:rPr>
        <w:t xml:space="preserve"> which</w:t>
      </w:r>
      <w:r w:rsidRPr="00014B6A">
        <w:rPr>
          <w:sz w:val="28"/>
          <w:szCs w:val="28"/>
        </w:rPr>
        <w:t xml:space="preserve"> </w:t>
      </w:r>
      <w:r w:rsidR="008A31D7" w:rsidRPr="00014B6A">
        <w:rPr>
          <w:sz w:val="28"/>
          <w:szCs w:val="28"/>
        </w:rPr>
        <w:t>contribute to</w:t>
      </w:r>
      <w:r w:rsidRPr="00014B6A">
        <w:rPr>
          <w:sz w:val="28"/>
          <w:szCs w:val="28"/>
        </w:rPr>
        <w:t xml:space="preserve"> students’ success and recruitment.  </w:t>
      </w:r>
    </w:p>
    <w:p w14:paraId="3910BBC0" w14:textId="18147C09" w:rsidR="00BD353D" w:rsidRPr="00866520" w:rsidRDefault="00BD353D" w:rsidP="00E63502">
      <w:pPr>
        <w:pStyle w:val="Heading2"/>
        <w:rPr>
          <w:b w:val="0"/>
          <w:bCs/>
          <w:color w:val="auto"/>
          <w:sz w:val="32"/>
          <w:szCs w:val="32"/>
          <w:lang w:eastAsia="en-GB"/>
        </w:rPr>
      </w:pPr>
      <w:r w:rsidRPr="00866520">
        <w:rPr>
          <w:b w:val="0"/>
          <w:bCs/>
          <w:color w:val="auto"/>
          <w:sz w:val="32"/>
          <w:szCs w:val="32"/>
          <w:lang w:eastAsia="en-GB"/>
        </w:rPr>
        <w:t>Contact details for further information</w:t>
      </w:r>
    </w:p>
    <w:p w14:paraId="03039C5A" w14:textId="075D7C60" w:rsidR="00AB0A79" w:rsidRPr="00D813F7" w:rsidRDefault="00E52C40" w:rsidP="00BD353D">
      <w:pPr>
        <w:pStyle w:val="LetterH2"/>
        <w:rPr>
          <w:b w:val="0"/>
          <w:sz w:val="28"/>
          <w:szCs w:val="28"/>
          <w:lang w:eastAsia="en-GB"/>
        </w:rPr>
      </w:pPr>
      <w:r w:rsidRPr="00933971">
        <w:rPr>
          <w:b w:val="0"/>
          <w:sz w:val="28"/>
          <w:szCs w:val="28"/>
          <w:lang w:eastAsia="en-GB"/>
        </w:rPr>
        <w:t>Louise Banahene, Director of Educational Engagement</w:t>
      </w:r>
      <w:r w:rsidR="008E2AFD" w:rsidRPr="00933971">
        <w:rPr>
          <w:b w:val="0"/>
          <w:sz w:val="28"/>
          <w:szCs w:val="28"/>
          <w:lang w:eastAsia="en-GB"/>
        </w:rPr>
        <w:t xml:space="preserve">: </w:t>
      </w:r>
      <w:r w:rsidRPr="00933971">
        <w:rPr>
          <w:b w:val="0"/>
          <w:sz w:val="28"/>
          <w:szCs w:val="28"/>
          <w:lang w:eastAsia="en-GB"/>
        </w:rPr>
        <w:t xml:space="preserve"> </w:t>
      </w:r>
      <w:hyperlink r:id="rId23" w:history="1">
        <w:r w:rsidR="008E2AFD" w:rsidRPr="00933971">
          <w:rPr>
            <w:rStyle w:val="Hyperlink"/>
            <w:b w:val="0"/>
            <w:sz w:val="28"/>
            <w:szCs w:val="28"/>
            <w:lang w:eastAsia="en-GB"/>
          </w:rPr>
          <w:t>L.Banahene@adm.leeds.ac.uk</w:t>
        </w:r>
      </w:hyperlink>
      <w:r w:rsidR="008E2AFD" w:rsidRPr="00933971">
        <w:rPr>
          <w:b w:val="0"/>
          <w:sz w:val="28"/>
          <w:szCs w:val="28"/>
          <w:lang w:eastAsia="en-GB"/>
        </w:rPr>
        <w:t xml:space="preserve"> </w:t>
      </w:r>
    </w:p>
    <w:sectPr w:rsidR="00AB0A79" w:rsidRPr="00D813F7" w:rsidSect="007906A2">
      <w:footerReference w:type="default" r:id="rId24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D0703" w14:textId="77777777" w:rsidR="00FA7821" w:rsidRDefault="00FA7821" w:rsidP="007906A2">
      <w:pPr>
        <w:spacing w:after="0" w:line="240" w:lineRule="auto"/>
      </w:pPr>
      <w:r>
        <w:separator/>
      </w:r>
    </w:p>
  </w:endnote>
  <w:endnote w:type="continuationSeparator" w:id="0">
    <w:p w14:paraId="4AD9ED1E" w14:textId="77777777" w:rsidR="00FA7821" w:rsidRDefault="00FA7821" w:rsidP="007906A2">
      <w:pPr>
        <w:spacing w:after="0" w:line="240" w:lineRule="auto"/>
      </w:pPr>
      <w:r>
        <w:continuationSeparator/>
      </w:r>
    </w:p>
  </w:endnote>
  <w:endnote w:type="continuationNotice" w:id="1">
    <w:p w14:paraId="010A20C8" w14:textId="77777777" w:rsidR="00FA7821" w:rsidRDefault="00FA7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9924B" w14:textId="3DE5D510" w:rsidR="000F3853" w:rsidRPr="000D5586" w:rsidRDefault="000F3853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67016D">
      <w:rPr>
        <w:noProof/>
      </w:rPr>
      <w:t>2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B0C49" w14:textId="77777777" w:rsidR="00FA7821" w:rsidRDefault="00FA7821" w:rsidP="007906A2">
      <w:pPr>
        <w:spacing w:after="0" w:line="240" w:lineRule="auto"/>
      </w:pPr>
      <w:r>
        <w:separator/>
      </w:r>
    </w:p>
  </w:footnote>
  <w:footnote w:type="continuationSeparator" w:id="0">
    <w:p w14:paraId="56B43030" w14:textId="77777777" w:rsidR="00FA7821" w:rsidRDefault="00FA7821" w:rsidP="007906A2">
      <w:pPr>
        <w:spacing w:after="0" w:line="240" w:lineRule="auto"/>
      </w:pPr>
      <w:r>
        <w:continuationSeparator/>
      </w:r>
    </w:p>
  </w:footnote>
  <w:footnote w:type="continuationNotice" w:id="1">
    <w:p w14:paraId="5A12B49D" w14:textId="77777777" w:rsidR="00FA7821" w:rsidRDefault="00FA78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4555FDB"/>
    <w:multiLevelType w:val="hybridMultilevel"/>
    <w:tmpl w:val="4DF4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134BB"/>
    <w:multiLevelType w:val="hybridMultilevel"/>
    <w:tmpl w:val="B2C0DFDE"/>
    <w:lvl w:ilvl="0" w:tplc="EFA097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C300E"/>
    <w:multiLevelType w:val="hybridMultilevel"/>
    <w:tmpl w:val="76AE8392"/>
    <w:lvl w:ilvl="0" w:tplc="023E5C8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EastAsia" w:hAnsiTheme="minorHAnsi" w:cstheme="minorBidi"/>
      </w:rPr>
    </w:lvl>
    <w:lvl w:ilvl="1" w:tplc="42DECD30">
      <w:start w:val="1"/>
      <w:numFmt w:val="lowerLetter"/>
      <w:lvlText w:val="%2."/>
      <w:lvlJc w:val="left"/>
      <w:pPr>
        <w:ind w:left="1440" w:hanging="360"/>
      </w:pPr>
    </w:lvl>
    <w:lvl w:ilvl="2" w:tplc="43D4B108">
      <w:start w:val="1"/>
      <w:numFmt w:val="lowerRoman"/>
      <w:lvlText w:val="%3."/>
      <w:lvlJc w:val="right"/>
      <w:pPr>
        <w:ind w:left="2160" w:hanging="180"/>
      </w:pPr>
    </w:lvl>
    <w:lvl w:ilvl="3" w:tplc="06CE6D5E">
      <w:start w:val="1"/>
      <w:numFmt w:val="decimal"/>
      <w:lvlText w:val="%4."/>
      <w:lvlJc w:val="left"/>
      <w:pPr>
        <w:ind w:left="2880" w:hanging="360"/>
      </w:pPr>
    </w:lvl>
    <w:lvl w:ilvl="4" w:tplc="51C8E202">
      <w:start w:val="1"/>
      <w:numFmt w:val="lowerLetter"/>
      <w:lvlText w:val="%5."/>
      <w:lvlJc w:val="left"/>
      <w:pPr>
        <w:ind w:left="3600" w:hanging="360"/>
      </w:pPr>
    </w:lvl>
    <w:lvl w:ilvl="5" w:tplc="FD240466">
      <w:start w:val="1"/>
      <w:numFmt w:val="lowerRoman"/>
      <w:lvlText w:val="%6."/>
      <w:lvlJc w:val="right"/>
      <w:pPr>
        <w:ind w:left="4320" w:hanging="180"/>
      </w:pPr>
    </w:lvl>
    <w:lvl w:ilvl="6" w:tplc="FF503A3C">
      <w:start w:val="1"/>
      <w:numFmt w:val="decimal"/>
      <w:lvlText w:val="%7."/>
      <w:lvlJc w:val="left"/>
      <w:pPr>
        <w:ind w:left="5040" w:hanging="360"/>
      </w:pPr>
    </w:lvl>
    <w:lvl w:ilvl="7" w:tplc="A2F2C414">
      <w:start w:val="1"/>
      <w:numFmt w:val="lowerLetter"/>
      <w:lvlText w:val="%8."/>
      <w:lvlJc w:val="left"/>
      <w:pPr>
        <w:ind w:left="5760" w:hanging="360"/>
      </w:pPr>
    </w:lvl>
    <w:lvl w:ilvl="8" w:tplc="C85035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278B"/>
    <w:multiLevelType w:val="hybridMultilevel"/>
    <w:tmpl w:val="9000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5101F6"/>
    <w:multiLevelType w:val="hybridMultilevel"/>
    <w:tmpl w:val="F392D08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0115A28"/>
    <w:multiLevelType w:val="hybridMultilevel"/>
    <w:tmpl w:val="FFFFFFFF"/>
    <w:lvl w:ilvl="0" w:tplc="D86C4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A3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8E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CD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27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66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A0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A0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4D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17E1"/>
    <w:multiLevelType w:val="hybridMultilevel"/>
    <w:tmpl w:val="0E7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D444F"/>
    <w:multiLevelType w:val="hybridMultilevel"/>
    <w:tmpl w:val="B1127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DECD30">
      <w:start w:val="1"/>
      <w:numFmt w:val="lowerLetter"/>
      <w:lvlText w:val="%2."/>
      <w:lvlJc w:val="left"/>
      <w:pPr>
        <w:ind w:left="1080" w:hanging="360"/>
      </w:pPr>
    </w:lvl>
    <w:lvl w:ilvl="2" w:tplc="43D4B108">
      <w:start w:val="1"/>
      <w:numFmt w:val="lowerRoman"/>
      <w:lvlText w:val="%3."/>
      <w:lvlJc w:val="right"/>
      <w:pPr>
        <w:ind w:left="1800" w:hanging="180"/>
      </w:pPr>
    </w:lvl>
    <w:lvl w:ilvl="3" w:tplc="06CE6D5E">
      <w:start w:val="1"/>
      <w:numFmt w:val="decimal"/>
      <w:lvlText w:val="%4."/>
      <w:lvlJc w:val="left"/>
      <w:pPr>
        <w:ind w:left="2520" w:hanging="360"/>
      </w:pPr>
    </w:lvl>
    <w:lvl w:ilvl="4" w:tplc="51C8E202">
      <w:start w:val="1"/>
      <w:numFmt w:val="lowerLetter"/>
      <w:lvlText w:val="%5."/>
      <w:lvlJc w:val="left"/>
      <w:pPr>
        <w:ind w:left="3240" w:hanging="360"/>
      </w:pPr>
    </w:lvl>
    <w:lvl w:ilvl="5" w:tplc="FD240466">
      <w:start w:val="1"/>
      <w:numFmt w:val="lowerRoman"/>
      <w:lvlText w:val="%6."/>
      <w:lvlJc w:val="right"/>
      <w:pPr>
        <w:ind w:left="3960" w:hanging="180"/>
      </w:pPr>
    </w:lvl>
    <w:lvl w:ilvl="6" w:tplc="FF503A3C">
      <w:start w:val="1"/>
      <w:numFmt w:val="decimal"/>
      <w:lvlText w:val="%7."/>
      <w:lvlJc w:val="left"/>
      <w:pPr>
        <w:ind w:left="4680" w:hanging="360"/>
      </w:pPr>
    </w:lvl>
    <w:lvl w:ilvl="7" w:tplc="A2F2C414">
      <w:start w:val="1"/>
      <w:numFmt w:val="lowerLetter"/>
      <w:lvlText w:val="%8."/>
      <w:lvlJc w:val="left"/>
      <w:pPr>
        <w:ind w:left="5400" w:hanging="360"/>
      </w:pPr>
    </w:lvl>
    <w:lvl w:ilvl="8" w:tplc="C8503550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460B49"/>
    <w:multiLevelType w:val="hybridMultilevel"/>
    <w:tmpl w:val="657CD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62D00"/>
    <w:multiLevelType w:val="hybridMultilevel"/>
    <w:tmpl w:val="10CCC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DECD30">
      <w:start w:val="1"/>
      <w:numFmt w:val="lowerLetter"/>
      <w:lvlText w:val="%2."/>
      <w:lvlJc w:val="left"/>
      <w:pPr>
        <w:ind w:left="1080" w:hanging="360"/>
      </w:pPr>
    </w:lvl>
    <w:lvl w:ilvl="2" w:tplc="43D4B108">
      <w:start w:val="1"/>
      <w:numFmt w:val="lowerRoman"/>
      <w:lvlText w:val="%3."/>
      <w:lvlJc w:val="right"/>
      <w:pPr>
        <w:ind w:left="1800" w:hanging="180"/>
      </w:pPr>
    </w:lvl>
    <w:lvl w:ilvl="3" w:tplc="06CE6D5E">
      <w:start w:val="1"/>
      <w:numFmt w:val="decimal"/>
      <w:lvlText w:val="%4."/>
      <w:lvlJc w:val="left"/>
      <w:pPr>
        <w:ind w:left="2520" w:hanging="360"/>
      </w:pPr>
    </w:lvl>
    <w:lvl w:ilvl="4" w:tplc="51C8E202">
      <w:start w:val="1"/>
      <w:numFmt w:val="lowerLetter"/>
      <w:lvlText w:val="%5."/>
      <w:lvlJc w:val="left"/>
      <w:pPr>
        <w:ind w:left="3240" w:hanging="360"/>
      </w:pPr>
    </w:lvl>
    <w:lvl w:ilvl="5" w:tplc="FD240466">
      <w:start w:val="1"/>
      <w:numFmt w:val="lowerRoman"/>
      <w:lvlText w:val="%6."/>
      <w:lvlJc w:val="right"/>
      <w:pPr>
        <w:ind w:left="3960" w:hanging="180"/>
      </w:pPr>
    </w:lvl>
    <w:lvl w:ilvl="6" w:tplc="FF503A3C">
      <w:start w:val="1"/>
      <w:numFmt w:val="decimal"/>
      <w:lvlText w:val="%7."/>
      <w:lvlJc w:val="left"/>
      <w:pPr>
        <w:ind w:left="4680" w:hanging="360"/>
      </w:pPr>
    </w:lvl>
    <w:lvl w:ilvl="7" w:tplc="A2F2C414">
      <w:start w:val="1"/>
      <w:numFmt w:val="lowerLetter"/>
      <w:lvlText w:val="%8."/>
      <w:lvlJc w:val="left"/>
      <w:pPr>
        <w:ind w:left="5400" w:hanging="360"/>
      </w:pPr>
    </w:lvl>
    <w:lvl w:ilvl="8" w:tplc="C850355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3"/>
  </w:num>
  <w:num w:numId="8">
    <w:abstractNumId w:val="22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5"/>
  </w:num>
  <w:num w:numId="22">
    <w:abstractNumId w:val="27"/>
  </w:num>
  <w:num w:numId="23">
    <w:abstractNumId w:val="24"/>
  </w:num>
  <w:num w:numId="24">
    <w:abstractNumId w:val="26"/>
  </w:num>
  <w:num w:numId="25">
    <w:abstractNumId w:val="11"/>
  </w:num>
  <w:num w:numId="26">
    <w:abstractNumId w:val="12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AA7866"/>
    <w:rsid w:val="00012249"/>
    <w:rsid w:val="00014B6A"/>
    <w:rsid w:val="00030F9B"/>
    <w:rsid w:val="00046A2D"/>
    <w:rsid w:val="0007321F"/>
    <w:rsid w:val="00083A8D"/>
    <w:rsid w:val="000954C7"/>
    <w:rsid w:val="000C1DB6"/>
    <w:rsid w:val="000D3A2F"/>
    <w:rsid w:val="000D497F"/>
    <w:rsid w:val="000D5586"/>
    <w:rsid w:val="000E14A3"/>
    <w:rsid w:val="000E4359"/>
    <w:rsid w:val="000E46A8"/>
    <w:rsid w:val="000F1CFA"/>
    <w:rsid w:val="000F3853"/>
    <w:rsid w:val="00121BE6"/>
    <w:rsid w:val="00133051"/>
    <w:rsid w:val="00170C3B"/>
    <w:rsid w:val="00170FE1"/>
    <w:rsid w:val="00183222"/>
    <w:rsid w:val="00185332"/>
    <w:rsid w:val="00185A8E"/>
    <w:rsid w:val="001927AF"/>
    <w:rsid w:val="00195610"/>
    <w:rsid w:val="001F1C28"/>
    <w:rsid w:val="00230F2C"/>
    <w:rsid w:val="00234D17"/>
    <w:rsid w:val="002741D3"/>
    <w:rsid w:val="0027428A"/>
    <w:rsid w:val="00277074"/>
    <w:rsid w:val="00283ADA"/>
    <w:rsid w:val="0028644A"/>
    <w:rsid w:val="00292B53"/>
    <w:rsid w:val="002C2F0E"/>
    <w:rsid w:val="002C3FB4"/>
    <w:rsid w:val="002F01B1"/>
    <w:rsid w:val="00300F48"/>
    <w:rsid w:val="0034005B"/>
    <w:rsid w:val="00351D0A"/>
    <w:rsid w:val="00356F9A"/>
    <w:rsid w:val="00363497"/>
    <w:rsid w:val="00365923"/>
    <w:rsid w:val="00370FA3"/>
    <w:rsid w:val="003729A9"/>
    <w:rsid w:val="00383FA9"/>
    <w:rsid w:val="00387013"/>
    <w:rsid w:val="003C0E88"/>
    <w:rsid w:val="003E61FE"/>
    <w:rsid w:val="00403183"/>
    <w:rsid w:val="004166B4"/>
    <w:rsid w:val="00435B93"/>
    <w:rsid w:val="00472D3D"/>
    <w:rsid w:val="00486AFF"/>
    <w:rsid w:val="004B77DE"/>
    <w:rsid w:val="004C31D6"/>
    <w:rsid w:val="004C646F"/>
    <w:rsid w:val="004C7CC2"/>
    <w:rsid w:val="004E3500"/>
    <w:rsid w:val="004F5B2D"/>
    <w:rsid w:val="004F5EF6"/>
    <w:rsid w:val="0050521B"/>
    <w:rsid w:val="00512FA6"/>
    <w:rsid w:val="005171B2"/>
    <w:rsid w:val="00517A01"/>
    <w:rsid w:val="00533A46"/>
    <w:rsid w:val="00543BFD"/>
    <w:rsid w:val="00546800"/>
    <w:rsid w:val="0058576F"/>
    <w:rsid w:val="00597407"/>
    <w:rsid w:val="005A11A8"/>
    <w:rsid w:val="005A6F6F"/>
    <w:rsid w:val="005B05F3"/>
    <w:rsid w:val="005C2337"/>
    <w:rsid w:val="005E57D0"/>
    <w:rsid w:val="005E755E"/>
    <w:rsid w:val="005F17E7"/>
    <w:rsid w:val="00600763"/>
    <w:rsid w:val="00602226"/>
    <w:rsid w:val="00603332"/>
    <w:rsid w:val="006066C9"/>
    <w:rsid w:val="006141A1"/>
    <w:rsid w:val="00617330"/>
    <w:rsid w:val="00625A04"/>
    <w:rsid w:val="0062762E"/>
    <w:rsid w:val="006330E1"/>
    <w:rsid w:val="006522E3"/>
    <w:rsid w:val="00656F6A"/>
    <w:rsid w:val="0067016D"/>
    <w:rsid w:val="006B4348"/>
    <w:rsid w:val="006C6313"/>
    <w:rsid w:val="006E2074"/>
    <w:rsid w:val="00700FFE"/>
    <w:rsid w:val="0071057D"/>
    <w:rsid w:val="00711BC5"/>
    <w:rsid w:val="0074388E"/>
    <w:rsid w:val="0074654E"/>
    <w:rsid w:val="00751FA9"/>
    <w:rsid w:val="00754325"/>
    <w:rsid w:val="0076179E"/>
    <w:rsid w:val="007629D1"/>
    <w:rsid w:val="00772B79"/>
    <w:rsid w:val="007906A2"/>
    <w:rsid w:val="008258BD"/>
    <w:rsid w:val="0082596F"/>
    <w:rsid w:val="00842A8B"/>
    <w:rsid w:val="00866520"/>
    <w:rsid w:val="00881F5C"/>
    <w:rsid w:val="008A31D7"/>
    <w:rsid w:val="008B6411"/>
    <w:rsid w:val="008C051D"/>
    <w:rsid w:val="008E2AFD"/>
    <w:rsid w:val="008E4835"/>
    <w:rsid w:val="008E7592"/>
    <w:rsid w:val="0091707C"/>
    <w:rsid w:val="00932A89"/>
    <w:rsid w:val="00933971"/>
    <w:rsid w:val="00970F46"/>
    <w:rsid w:val="009827EF"/>
    <w:rsid w:val="009A4766"/>
    <w:rsid w:val="009D71CA"/>
    <w:rsid w:val="009F08E1"/>
    <w:rsid w:val="00A058E4"/>
    <w:rsid w:val="00A1597A"/>
    <w:rsid w:val="00A44137"/>
    <w:rsid w:val="00A646B6"/>
    <w:rsid w:val="00A64774"/>
    <w:rsid w:val="00A66F0C"/>
    <w:rsid w:val="00A867D2"/>
    <w:rsid w:val="00A96715"/>
    <w:rsid w:val="00AA3365"/>
    <w:rsid w:val="00AA43F2"/>
    <w:rsid w:val="00AA7866"/>
    <w:rsid w:val="00AB0A79"/>
    <w:rsid w:val="00AB33E0"/>
    <w:rsid w:val="00AC3D7A"/>
    <w:rsid w:val="00AC4267"/>
    <w:rsid w:val="00AD58E1"/>
    <w:rsid w:val="00AE534B"/>
    <w:rsid w:val="00AF07F7"/>
    <w:rsid w:val="00B00DA0"/>
    <w:rsid w:val="00B21266"/>
    <w:rsid w:val="00B37535"/>
    <w:rsid w:val="00B406C6"/>
    <w:rsid w:val="00B77EE4"/>
    <w:rsid w:val="00B96ED7"/>
    <w:rsid w:val="00BB1BD2"/>
    <w:rsid w:val="00BB3109"/>
    <w:rsid w:val="00BD353D"/>
    <w:rsid w:val="00BE3D9C"/>
    <w:rsid w:val="00C117D8"/>
    <w:rsid w:val="00C139E6"/>
    <w:rsid w:val="00C61919"/>
    <w:rsid w:val="00C70752"/>
    <w:rsid w:val="00CA5C9E"/>
    <w:rsid w:val="00CB6C4A"/>
    <w:rsid w:val="00CC3627"/>
    <w:rsid w:val="00D40B62"/>
    <w:rsid w:val="00D54E7C"/>
    <w:rsid w:val="00D80E32"/>
    <w:rsid w:val="00D813F7"/>
    <w:rsid w:val="00D9501C"/>
    <w:rsid w:val="00DA02B4"/>
    <w:rsid w:val="00DA4190"/>
    <w:rsid w:val="00DB775F"/>
    <w:rsid w:val="00DC70BB"/>
    <w:rsid w:val="00DE2CFA"/>
    <w:rsid w:val="00DE2E26"/>
    <w:rsid w:val="00DE422A"/>
    <w:rsid w:val="00DF1AA7"/>
    <w:rsid w:val="00E41405"/>
    <w:rsid w:val="00E4355A"/>
    <w:rsid w:val="00E52C40"/>
    <w:rsid w:val="00E63502"/>
    <w:rsid w:val="00E7191F"/>
    <w:rsid w:val="00EC46AD"/>
    <w:rsid w:val="00ED40B4"/>
    <w:rsid w:val="00EF2F3C"/>
    <w:rsid w:val="00F3040B"/>
    <w:rsid w:val="00F41FAE"/>
    <w:rsid w:val="00F439E8"/>
    <w:rsid w:val="00F504E7"/>
    <w:rsid w:val="00F64624"/>
    <w:rsid w:val="00F81282"/>
    <w:rsid w:val="00F83F07"/>
    <w:rsid w:val="00FA7821"/>
    <w:rsid w:val="00FC6C94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EB39"/>
  <w15:chartTrackingRefBased/>
  <w15:docId w15:val="{99914A64-C529-4256-9BD2-A24B3FC5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B4"/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spacing w:after="240" w:line="300" w:lineRule="atLeast"/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D58E1"/>
    <w:rPr>
      <w:color w:val="0000FF"/>
      <w:u w:val="single"/>
    </w:rPr>
  </w:style>
  <w:style w:type="paragraph" w:customStyle="1" w:styleId="StyleBoxedbluetextLinespacingsingle">
    <w:name w:val="Style Boxed blue text + Line spacing:  single"/>
    <w:basedOn w:val="Boxedbluetext"/>
    <w:rsid w:val="003C0E88"/>
    <w:pPr>
      <w:spacing w:line="240" w:lineRule="auto"/>
    </w:pPr>
    <w:rPr>
      <w:rFonts w:eastAsia="Times New Roman" w:cs="Times New Roman"/>
      <w:szCs w:val="20"/>
    </w:rPr>
  </w:style>
  <w:style w:type="paragraph" w:customStyle="1" w:styleId="LetterH2">
    <w:name w:val="LetterH2"/>
    <w:basedOn w:val="Heading2"/>
    <w:uiPriority w:val="99"/>
    <w:rsid w:val="00BD353D"/>
    <w:pPr>
      <w:spacing w:after="180"/>
    </w:pPr>
    <w:rPr>
      <w:rFonts w:ascii="Arial" w:eastAsia="Arial" w:hAnsi="Arial" w:cs="Arial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0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5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7D"/>
    <w:rPr>
      <w:rFonts w:ascii="Segoe UI" w:hAnsi="Segoe UI" w:cs="Segoe UI"/>
      <w:sz w:val="18"/>
      <w:szCs w:val="18"/>
    </w:rPr>
  </w:style>
  <w:style w:type="table" w:customStyle="1" w:styleId="ListTable3-Accent21">
    <w:name w:val="List Table 3 - Accent 21"/>
    <w:basedOn w:val="TableNormal"/>
    <w:uiPriority w:val="48"/>
    <w:rsid w:val="0071057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1B434" w:themeColor="accent2"/>
        <w:left w:val="single" w:sz="4" w:space="0" w:color="F1B434" w:themeColor="accent2"/>
        <w:bottom w:val="single" w:sz="4" w:space="0" w:color="F1B434" w:themeColor="accent2"/>
        <w:right w:val="single" w:sz="4" w:space="0" w:color="F1B43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434" w:themeFill="accent2"/>
      </w:tcPr>
    </w:tblStylePr>
    <w:tblStylePr w:type="lastRow">
      <w:rPr>
        <w:b/>
        <w:bCs/>
      </w:rPr>
      <w:tblPr/>
      <w:tcPr>
        <w:tcBorders>
          <w:top w:val="double" w:sz="4" w:space="0" w:color="F1B43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434" w:themeColor="accent2"/>
          <w:right w:val="single" w:sz="4" w:space="0" w:color="F1B434" w:themeColor="accent2"/>
        </w:tcBorders>
      </w:tcPr>
    </w:tblStylePr>
    <w:tblStylePr w:type="band1Horz">
      <w:tblPr/>
      <w:tcPr>
        <w:tcBorders>
          <w:top w:val="single" w:sz="4" w:space="0" w:color="F1B434" w:themeColor="accent2"/>
          <w:bottom w:val="single" w:sz="4" w:space="0" w:color="F1B43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434" w:themeColor="accent2"/>
          <w:left w:val="nil"/>
        </w:tcBorders>
      </w:tcPr>
    </w:tblStylePr>
    <w:tblStylePr w:type="swCell">
      <w:tblPr/>
      <w:tcPr>
        <w:tcBorders>
          <w:top w:val="double" w:sz="4" w:space="0" w:color="F1B434" w:themeColor="accent2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AA43F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A43F2"/>
    <w:rPr>
      <w:color w:val="002554" w:themeColor="followedHyperlink"/>
      <w:u w:val="single"/>
    </w:rPr>
  </w:style>
  <w:style w:type="table" w:styleId="ListTable4-Accent3">
    <w:name w:val="List Table 4 Accent 3"/>
    <w:basedOn w:val="TableNormal"/>
    <w:uiPriority w:val="49"/>
    <w:rsid w:val="00AA43F2"/>
    <w:pPr>
      <w:spacing w:after="0" w:line="240" w:lineRule="auto"/>
    </w:pPr>
    <w:tblPr>
      <w:tblStyleRowBandSize w:val="1"/>
      <w:tblStyleColBandSize w:val="1"/>
      <w:tblBorders>
        <w:top w:val="single" w:sz="4" w:space="0" w:color="006FFE" w:themeColor="accent3" w:themeTint="99"/>
        <w:left w:val="single" w:sz="4" w:space="0" w:color="006FFE" w:themeColor="accent3" w:themeTint="99"/>
        <w:bottom w:val="single" w:sz="4" w:space="0" w:color="006FFE" w:themeColor="accent3" w:themeTint="99"/>
        <w:right w:val="single" w:sz="4" w:space="0" w:color="006FFE" w:themeColor="accent3" w:themeTint="99"/>
        <w:insideH w:val="single" w:sz="4" w:space="0" w:color="006FF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54" w:themeColor="accent3"/>
          <w:left w:val="single" w:sz="4" w:space="0" w:color="002554" w:themeColor="accent3"/>
          <w:bottom w:val="single" w:sz="4" w:space="0" w:color="002554" w:themeColor="accent3"/>
          <w:right w:val="single" w:sz="4" w:space="0" w:color="002554" w:themeColor="accent3"/>
          <w:insideH w:val="nil"/>
        </w:tcBorders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6FF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CFFF" w:themeFill="accent3" w:themeFillTint="33"/>
      </w:tcPr>
    </w:tblStylePr>
    <w:tblStylePr w:type="band1Horz">
      <w:tblPr/>
      <w:tcPr>
        <w:shd w:val="clear" w:color="auto" w:fill="A9CFFF" w:themeFill="accent3" w:themeFillTint="33"/>
      </w:tcPr>
    </w:tblStylePr>
  </w:style>
  <w:style w:type="table" w:styleId="GridTable5Dark-Accent2">
    <w:name w:val="Grid Table 5 Dark Accent 2"/>
    <w:basedOn w:val="TableNormal"/>
    <w:uiPriority w:val="50"/>
    <w:rsid w:val="00AA43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43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43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43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434" w:themeFill="accent2"/>
      </w:tcPr>
    </w:tblStylePr>
    <w:tblStylePr w:type="band1Vert">
      <w:tblPr/>
      <w:tcPr>
        <w:shd w:val="clear" w:color="auto" w:fill="F9E0AD" w:themeFill="accent2" w:themeFillTint="66"/>
      </w:tcPr>
    </w:tblStylePr>
    <w:tblStylePr w:type="band1Horz">
      <w:tblPr/>
      <w:tcPr>
        <w:shd w:val="clear" w:color="auto" w:fill="F9E0AD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3729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4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4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4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434" w:themeFill="accent4"/>
      </w:tcPr>
    </w:tblStylePr>
    <w:tblStylePr w:type="band1Vert">
      <w:tblPr/>
      <w:tcPr>
        <w:shd w:val="clear" w:color="auto" w:fill="F9E0AD" w:themeFill="accent4" w:themeFillTint="66"/>
      </w:tcPr>
    </w:tblStylePr>
    <w:tblStylePr w:type="band1Horz">
      <w:tblPr/>
      <w:tcPr>
        <w:shd w:val="clear" w:color="auto" w:fill="F9E0AD" w:themeFill="accent4" w:themeFillTint="66"/>
      </w:tcPr>
    </w:tblStylePr>
  </w:style>
  <w:style w:type="paragraph" w:customStyle="1" w:styleId="Default">
    <w:name w:val="Default"/>
    <w:rsid w:val="00B406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72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eds.ac.uk/undergraduate-funding-university/doc/leeds-bursary" TargetMode="External"/><Relationship Id="rId18" Type="http://schemas.openxmlformats.org/officeDocument/2006/relationships/hyperlink" Target="https://www.leeds.ac.uk/lifelong-learnin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uu.org.uk/student-voice/academic-representation/?reps-departments=&amp;reps-name=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eeds.ac.uk/undergraduate-fees/doc/fees-undergraduate-fees" TargetMode="External"/><Relationship Id="rId17" Type="http://schemas.openxmlformats.org/officeDocument/2006/relationships/hyperlink" Target="https://www.realisingopportunities.ac.uk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ropel.org.uk/Details/the-university-of-leeds" TargetMode="External"/><Relationship Id="rId20" Type="http://schemas.openxmlformats.org/officeDocument/2006/relationships/hyperlink" Target="https://www.leeds.ac.uk/downloads/download/93/access_and_participation_pla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eds.ac.uk/downloads/download/93/access_and_participation_plan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leeds.ac.uk/undergraduate-fees/doc/fees-undergraduate-fees" TargetMode="External"/><Relationship Id="rId23" Type="http://schemas.openxmlformats.org/officeDocument/2006/relationships/hyperlink" Target="mailto:L.Banahene@adm.leeds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eeds.ac.uk/download/downloads/id/1365/access_and_student_success_strategy_roadmap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eds.ac.uk/undergraduate-funding-scholarships/doc/personal-circumstances-scholarships" TargetMode="External"/><Relationship Id="rId22" Type="http://schemas.openxmlformats.org/officeDocument/2006/relationships/hyperlink" Target="https://www.leeds.ac.uk/downloads/download/93/access_and_participation_plan" TargetMode="Externa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34CACE2C4564BB549E3EBF8EC453C" ma:contentTypeVersion="11" ma:contentTypeDescription="Create a new document." ma:contentTypeScope="" ma:versionID="91ceecf4e4cf009c802664ee4d3cdd2d">
  <xsd:schema xmlns:xsd="http://www.w3.org/2001/XMLSchema" xmlns:xs="http://www.w3.org/2001/XMLSchema" xmlns:p="http://schemas.microsoft.com/office/2006/metadata/properties" xmlns:ns3="9410f017-5081-4b9f-b35b-c8d8b67886cf" xmlns:ns4="da3b7ade-3327-49ce-8cc1-dfdd5c14e79e" targetNamespace="http://schemas.microsoft.com/office/2006/metadata/properties" ma:root="true" ma:fieldsID="6b29b7e4b9a6a90142b271c66aa05339" ns3:_="" ns4:_="">
    <xsd:import namespace="9410f017-5081-4b9f-b35b-c8d8b67886cf"/>
    <xsd:import namespace="da3b7ade-3327-49ce-8cc1-dfdd5c14e7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0f017-5081-4b9f-b35b-c8d8b6788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b7ade-3327-49ce-8cc1-dfdd5c14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1A963-426D-4650-8CDC-5418A5FC1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91596-D438-4755-83B2-61C3F93E1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F17504-92A9-4C28-A65B-750028C32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0f017-5081-4b9f-b35b-c8d8b67886cf"/>
    <ds:schemaRef ds:uri="da3b7ade-3327-49ce-8cc1-dfdd5c14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65C575-FB8D-461A-830A-63A2C69E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and participation plan summary template</vt:lpstr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and participation plan summary template</dc:title>
  <dc:subject/>
  <dc:creator>Sara Carroll [7063]</dc:creator>
  <cp:keywords/>
  <dc:description/>
  <cp:lastModifiedBy>Zoe Ward</cp:lastModifiedBy>
  <cp:revision>6</cp:revision>
  <dcterms:created xsi:type="dcterms:W3CDTF">2022-12-12T15:57:00Z</dcterms:created>
  <dcterms:modified xsi:type="dcterms:W3CDTF">2022-12-12T16:19:00Z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0x01010034834CACE2C4564BB549E3EBF8EC453C</vt:lpwstr>
  </property>
</Properties>
</file>